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cs="楷体"/>
          <w:b/>
          <w:bCs/>
          <w:color w:val="000000" w:themeColor="text1"/>
          <w:sz w:val="36"/>
          <w:szCs w:val="36"/>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cs="楷体"/>
          <w:b/>
          <w:bCs/>
          <w:sz w:val="36"/>
          <w:szCs w:val="36"/>
        </w:rPr>
        <w:t>福州天泽电气有限公司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sz w:val="21"/>
                <w:szCs w:val="21"/>
              </w:rPr>
              <w:t>福州天泽电气有限公司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15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r>
              <w:rPr>
                <w:rFonts w:asciiTheme="minorEastAsia" w:hAnsiTheme="minorEastAsia" w:eastAsiaTheme="minorEastAsia"/>
                <w:sz w:val="20"/>
              </w:rPr>
              <w:t>福建省福州市台江区五一南路20号西半座第六层</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生产邮编"/>
            <w:r>
              <w:rPr>
                <w:sz w:val="21"/>
                <w:szCs w:val="21"/>
              </w:rPr>
              <w:t>350004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asciiTheme="minorEastAsia" w:hAnsiTheme="minorEastAsia" w:eastAsiaTheme="minorEastAsia"/>
                <w:sz w:val="20"/>
              </w:rPr>
              <w:t>福建省福州市台江区五一南路20号西半座第六层</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sz w:val="21"/>
                <w:szCs w:val="21"/>
              </w:rPr>
              <w:t>350004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7" w:name="联系人"/>
            <w:r>
              <w:rPr>
                <w:sz w:val="21"/>
                <w:szCs w:val="21"/>
              </w:rPr>
              <w:t>刘梅红</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8" w:name="联系人电话"/>
            <w:r>
              <w:rPr>
                <w:sz w:val="21"/>
                <w:szCs w:val="21"/>
              </w:rPr>
              <w:t>18050195788</w:t>
            </w:r>
            <w:bookmarkEnd w:id="8"/>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林惠芳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0" w:name="最高管理者"/>
            <w:bookmarkEnd w:id="10"/>
            <w:r>
              <w:rPr>
                <w:rFonts w:hint="eastAsia" w:ascii="宋体" w:hAnsi="宋体"/>
                <w:b/>
                <w:color w:val="000000" w:themeColor="text1"/>
                <w:spacing w:val="-20"/>
                <w:sz w:val="20"/>
                <w:szCs w:val="20"/>
                <w:lang w:val="en-US" w:eastAsia="zh-CN"/>
              </w:rPr>
              <w:t>林建敏</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刘梅红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sz w:val="20"/>
              </w:rPr>
            </w:pPr>
            <w:bookmarkStart w:id="11" w:name="审核范围"/>
            <w:r>
              <w:rPr>
                <w:rFonts w:ascii="宋体" w:hAnsi="宋体"/>
                <w:b/>
                <w:color w:val="000000" w:themeColor="text1"/>
                <w:sz w:val="20"/>
                <w:szCs w:val="20"/>
              </w:rPr>
              <w:t>E：</w:t>
            </w:r>
            <w:r>
              <w:rPr>
                <w:sz w:val="20"/>
              </w:rPr>
              <w:t>电缆附件的销售所涉及的相关环境管理活动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w:t>
            </w:r>
            <w:bookmarkEnd w:id="11"/>
            <w:r>
              <w:rPr>
                <w:sz w:val="20"/>
              </w:rPr>
              <w:t>电缆附件的销售所涉及的相关职业健康安全管理活动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2" w:name="专业代码"/>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3" w:name="体系运行时间"/>
            <w:r>
              <w:rPr>
                <w:rFonts w:ascii="宋体" w:hAnsi="宋体"/>
                <w:b/>
                <w:color w:val="000000" w:themeColor="text1"/>
                <w:sz w:val="20"/>
                <w:szCs w:val="20"/>
              </w:rPr>
              <w:t>2019-</w:t>
            </w:r>
            <w:r>
              <w:rPr>
                <w:rFonts w:hint="eastAsia" w:ascii="宋体" w:hAnsi="宋体"/>
                <w:b/>
                <w:color w:val="000000" w:themeColor="text1"/>
                <w:sz w:val="20"/>
                <w:szCs w:val="20"/>
                <w:lang w:val="en-US" w:eastAsia="zh-CN"/>
              </w:rPr>
              <w:t>11</w:t>
            </w:r>
            <w:r>
              <w:rPr>
                <w:rFonts w:ascii="宋体" w:hAnsi="宋体"/>
                <w:b/>
                <w:color w:val="000000" w:themeColor="text1"/>
                <w:sz w:val="20"/>
                <w:szCs w:val="20"/>
              </w:rPr>
              <w:t>-0</w:t>
            </w:r>
            <w:r>
              <w:rPr>
                <w:rFonts w:hint="eastAsia" w:ascii="宋体" w:hAnsi="宋体"/>
                <w:b/>
                <w:color w:val="000000" w:themeColor="text1"/>
                <w:sz w:val="20"/>
                <w:szCs w:val="20"/>
                <w:lang w:val="en-US" w:eastAsia="zh-CN"/>
              </w:rPr>
              <w:t>1</w:t>
            </w:r>
            <w:r>
              <w:rPr>
                <w:rFonts w:ascii="宋体" w:hAnsi="宋体"/>
                <w:b/>
                <w:color w:val="000000" w:themeColor="text1"/>
                <w:sz w:val="20"/>
                <w:szCs w:val="20"/>
              </w:rPr>
              <w:t xml:space="preserve"> 0:00:00</w:t>
            </w:r>
            <w:bookmarkEnd w:id="1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lang w:val="en-US" w:eastAsia="zh-CN"/>
              </w:rPr>
              <w:t>销售</w:t>
            </w:r>
            <w:r>
              <w:rPr>
                <w:rFonts w:hint="eastAsia" w:ascii="宋体" w:hAnsi="宋体"/>
                <w:color w:val="000000"/>
                <w:spacing w:val="-20"/>
                <w:sz w:val="20"/>
                <w:szCs w:val="20"/>
              </w:rPr>
              <w:t>部</w:t>
            </w:r>
          </w:p>
        </w:tc>
        <w:tc>
          <w:tcPr>
            <w:tcW w:w="6804" w:type="dxa"/>
          </w:tcPr>
          <w:p>
            <w:pPr>
              <w:rPr>
                <w:rFonts w:hint="default" w:ascii="宋体" w:eastAsia="宋体"/>
                <w:b/>
                <w:color w:val="000000"/>
                <w:spacing w:val="-20"/>
                <w:sz w:val="20"/>
                <w:szCs w:val="20"/>
                <w:u w:val="single"/>
                <w:lang w:val="en-US" w:eastAsia="zh-CN"/>
              </w:rPr>
            </w:pPr>
            <w:r>
              <w:rPr>
                <w:rFonts w:hint="eastAsia" w:ascii="宋体" w:hAnsi="宋体"/>
                <w:bCs/>
                <w:color w:val="000000"/>
                <w:spacing w:val="-20"/>
                <w:sz w:val="20"/>
                <w:szCs w:val="20"/>
                <w:lang w:val="en-US" w:eastAsia="zh-CN"/>
              </w:rPr>
              <w:t>销售过程</w:t>
            </w:r>
            <w:r>
              <w:rPr>
                <w:rFonts w:hint="eastAsia" w:ascii="宋体" w:hAnsi="宋体"/>
                <w:bCs/>
                <w:color w:val="000000"/>
                <w:spacing w:val="-20"/>
                <w:sz w:val="20"/>
                <w:szCs w:val="20"/>
              </w:rPr>
              <w:t>危险源辨识、风险评价和风险控制措施的确定、应急准备和响应及相应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商务</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人力资源管理过程；资源提供与管理过程控制；内外部信息交流过程；内审管理；内外部信息交流、采购过程、客户满意相关等过程及相应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电缆附件的销售</w:t>
            </w:r>
          </w:p>
        </w:tc>
        <w:tc>
          <w:tcPr>
            <w:tcW w:w="2519" w:type="dxa"/>
          </w:tcPr>
          <w:p>
            <w:pPr>
              <w:rPr>
                <w:rFonts w:hint="default" w:eastAsia="宋体"/>
                <w:b/>
                <w:color w:val="000000"/>
                <w:sz w:val="20"/>
                <w:szCs w:val="20"/>
                <w:lang w:val="en-US" w:eastAsia="zh-CN"/>
              </w:rPr>
            </w:pPr>
          </w:p>
        </w:tc>
        <w:tc>
          <w:tcPr>
            <w:tcW w:w="1843" w:type="dxa"/>
          </w:tcPr>
          <w:p>
            <w:pPr>
              <w:rPr>
                <w:b/>
                <w:color w:val="000000"/>
                <w:sz w:val="20"/>
                <w:szCs w:val="20"/>
              </w:rPr>
            </w:pPr>
          </w:p>
        </w:tc>
        <w:tc>
          <w:tcPr>
            <w:tcW w:w="3543" w:type="dxa"/>
          </w:tcPr>
          <w:p>
            <w:pPr>
              <w:rPr>
                <w:rFonts w:hint="default" w:eastAsia="宋体"/>
                <w:b/>
                <w:color w:val="000000"/>
                <w:sz w:val="20"/>
                <w:szCs w:val="20"/>
                <w:lang w:val="en-US" w:eastAsia="zh-CN"/>
              </w:rPr>
            </w:pPr>
            <w:r>
              <w:rPr>
                <w:rFonts w:hint="default" w:eastAsia="宋体"/>
                <w:b/>
                <w:color w:val="000000"/>
                <w:sz w:val="20"/>
                <w:szCs w:val="20"/>
                <w:lang w:val="en-US" w:eastAsia="zh-CN"/>
              </w:rPr>
              <w:t>GB/Z18890《额定电压220kV（Um=250kV）交联聚乙烯绝缘电力电缆及其附件》</w:t>
            </w:r>
          </w:p>
          <w:p>
            <w:pPr>
              <w:rPr>
                <w:rFonts w:hint="default" w:eastAsia="宋体"/>
                <w:b/>
                <w:color w:val="000000"/>
                <w:sz w:val="20"/>
                <w:szCs w:val="20"/>
                <w:lang w:val="en-US" w:eastAsia="zh-CN"/>
              </w:rPr>
            </w:pPr>
            <w:r>
              <w:rPr>
                <w:rFonts w:hint="default" w:eastAsia="宋体"/>
                <w:b/>
                <w:color w:val="000000"/>
                <w:sz w:val="20"/>
                <w:szCs w:val="20"/>
                <w:lang w:val="en-US" w:eastAsia="zh-CN"/>
              </w:rPr>
              <w:t>GB/T11017《额定电压110kV交联聚乙烯绝缘电力电缆及其附件》</w:t>
            </w:r>
          </w:p>
          <w:p>
            <w:pPr>
              <w:rPr>
                <w:rFonts w:hint="default" w:eastAsia="宋体"/>
                <w:b/>
                <w:color w:val="000000"/>
                <w:sz w:val="20"/>
                <w:szCs w:val="20"/>
                <w:lang w:val="en-US" w:eastAsia="zh-CN"/>
              </w:rPr>
            </w:pPr>
            <w:r>
              <w:rPr>
                <w:rFonts w:hint="default" w:eastAsia="宋体"/>
                <w:b/>
                <w:color w:val="000000"/>
                <w:sz w:val="20"/>
                <w:szCs w:val="20"/>
                <w:lang w:val="en-US" w:eastAsia="zh-CN"/>
              </w:rPr>
              <w:t>GB5589《电缆附件试验方法》</w:t>
            </w:r>
          </w:p>
          <w:p>
            <w:pPr>
              <w:rPr>
                <w:rFonts w:hint="default" w:eastAsia="宋体"/>
                <w:b/>
                <w:color w:val="000000"/>
                <w:sz w:val="20"/>
                <w:szCs w:val="20"/>
                <w:lang w:val="en-US" w:eastAsia="zh-CN"/>
              </w:rPr>
            </w:pPr>
            <w:r>
              <w:rPr>
                <w:rFonts w:hint="default" w:eastAsia="宋体"/>
                <w:b/>
                <w:color w:val="000000"/>
                <w:sz w:val="20"/>
                <w:szCs w:val="20"/>
                <w:lang w:val="en-US" w:eastAsia="zh-CN"/>
              </w:rPr>
              <w:t>GB9327《电缆导体压缩和机械连接接头试验方法》</w:t>
            </w:r>
          </w:p>
          <w:p>
            <w:pPr>
              <w:rPr>
                <w:rFonts w:hint="default" w:eastAsia="宋体"/>
                <w:b/>
                <w:color w:val="000000"/>
                <w:sz w:val="20"/>
                <w:szCs w:val="20"/>
                <w:lang w:val="en-US" w:eastAsia="zh-CN"/>
              </w:rPr>
            </w:pPr>
            <w:r>
              <w:rPr>
                <w:rFonts w:hint="default" w:eastAsia="宋体"/>
                <w:b/>
                <w:color w:val="000000"/>
                <w:sz w:val="20"/>
                <w:szCs w:val="20"/>
                <w:lang w:val="en-US" w:eastAsia="zh-CN"/>
              </w:rPr>
              <w:t>GB14315《电缆导体用压接型铜、铝接线端子和连接管》</w:t>
            </w:r>
          </w:p>
          <w:p>
            <w:pPr>
              <w:rPr>
                <w:rFonts w:hint="default" w:eastAsia="宋体"/>
                <w:b/>
                <w:color w:val="000000"/>
                <w:sz w:val="20"/>
                <w:szCs w:val="20"/>
                <w:lang w:val="en-US" w:eastAsia="zh-CN"/>
              </w:rPr>
            </w:pPr>
            <w:r>
              <w:rPr>
                <w:rFonts w:hint="default" w:eastAsia="宋体"/>
                <w:b/>
                <w:color w:val="000000"/>
                <w:sz w:val="20"/>
                <w:szCs w:val="20"/>
                <w:lang w:val="en-US" w:eastAsia="zh-CN"/>
              </w:rPr>
              <w:t>注：GB11033《额定电压26/35kV及以下电力电缆附件基本技术要求》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2019</w:t>
      </w:r>
      <w:r>
        <w:rPr>
          <w:rFonts w:hint="eastAsia"/>
          <w:b/>
          <w:color w:val="000000"/>
          <w:spacing w:val="-10"/>
          <w:szCs w:val="21"/>
        </w:rPr>
        <w:t>年</w:t>
      </w:r>
      <w:r>
        <w:rPr>
          <w:rFonts w:hint="eastAsia"/>
          <w:b/>
          <w:color w:val="000000"/>
          <w:spacing w:val="-10"/>
          <w:szCs w:val="21"/>
          <w:lang w:val="en-US" w:eastAsia="zh-CN"/>
        </w:rPr>
        <w:t>11</w:t>
      </w:r>
      <w:r>
        <w:rPr>
          <w:rFonts w:hint="eastAsia"/>
          <w:b/>
          <w:color w:val="000000"/>
          <w:spacing w:val="-10"/>
          <w:szCs w:val="21"/>
        </w:rPr>
        <w:t>月</w:t>
      </w:r>
      <w:bookmarkStart w:id="14" w:name="OLE_LINK1"/>
      <w:r>
        <w:rPr>
          <w:rFonts w:hint="eastAsia"/>
          <w:b/>
          <w:color w:val="000000"/>
          <w:spacing w:val="-10"/>
          <w:szCs w:val="21"/>
          <w:lang w:val="en-US" w:eastAsia="zh-CN"/>
        </w:rPr>
        <w:t>1</w:t>
      </w:r>
      <w:r>
        <w:rPr>
          <w:rFonts w:hint="eastAsia"/>
          <w:b/>
          <w:color w:val="000000"/>
          <w:spacing w:val="-10"/>
          <w:szCs w:val="21"/>
        </w:rPr>
        <w:t>日</w:t>
      </w:r>
      <w:bookmarkEnd w:id="14"/>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7</w:t>
      </w:r>
      <w:r>
        <w:rPr>
          <w:rFonts w:hint="eastAsia"/>
          <w:b/>
          <w:color w:val="000000"/>
          <w:spacing w:val="-10"/>
          <w:szCs w:val="21"/>
        </w:rPr>
        <w:t>月</w:t>
      </w:r>
      <w:r>
        <w:rPr>
          <w:rFonts w:hint="eastAsia"/>
          <w:b/>
          <w:color w:val="000000"/>
          <w:spacing w:val="-10"/>
          <w:szCs w:val="21"/>
          <w:lang w:val="en-US" w:eastAsia="zh-CN"/>
        </w:rPr>
        <w:t>31</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360" w:lineRule="auto"/>
              <w:ind w:firstLine="420" w:firstLineChars="200"/>
              <w:rPr>
                <w:rFonts w:hint="eastAsia" w:ascii="宋体" w:hAnsi="宋体"/>
                <w:kern w:val="2"/>
              </w:rPr>
            </w:pPr>
            <w:r>
              <w:rPr>
                <w:rFonts w:hint="eastAsia" w:ascii="宋体" w:hAnsi="宋体" w:eastAsia="宋体" w:cs="宋体"/>
                <w:i w:val="0"/>
                <w:caps w:val="0"/>
                <w:color w:val="333333"/>
                <w:spacing w:val="0"/>
                <w:sz w:val="21"/>
                <w:szCs w:val="21"/>
                <w:shd w:val="clear" w:color="auto" w:fill="FFFFFF"/>
                <w:lang w:eastAsia="zh-CN"/>
              </w:rPr>
              <w:t>福州天泽电气有限公司2009年05月11日成立，经营范围包括一般经营项目：电气产品、机械设备、电力设备、五金交电（不含电动自行车）及电子产品、通讯产品、家用电器批发许可经营项目；我司秉承“诚信、求实、开创、卓越”的企业文化理念，不断在产品的质量上力求精益求精；公司在不断发展壮</w:t>
            </w:r>
            <w:r>
              <w:rPr>
                <w:rFonts w:hint="eastAsia" w:ascii="宋体" w:hAnsi="宋体" w:eastAsia="宋体" w:cs="宋体"/>
                <w:i w:val="0"/>
                <w:caps w:val="0"/>
                <w:color w:val="333333"/>
                <w:spacing w:val="0"/>
                <w:sz w:val="21"/>
                <w:szCs w:val="21"/>
                <w:shd w:val="clear" w:color="auto" w:fill="FFFFFF"/>
                <w:lang w:val="en-US" w:eastAsia="zh-CN"/>
              </w:rPr>
              <w:t>大</w:t>
            </w:r>
            <w:r>
              <w:rPr>
                <w:rFonts w:hint="eastAsia" w:ascii="宋体" w:hAnsi="宋体" w:eastAsia="宋体" w:cs="宋体"/>
                <w:i w:val="0"/>
                <w:caps w:val="0"/>
                <w:color w:val="333333"/>
                <w:spacing w:val="0"/>
                <w:sz w:val="21"/>
                <w:szCs w:val="21"/>
                <w:shd w:val="clear" w:color="auto" w:fill="FFFFFF"/>
                <w:lang w:eastAsia="zh-CN"/>
              </w:rPr>
              <w:t>的同时，也赢得社会各界的广泛赞誉。</w:t>
            </w:r>
            <w:r>
              <w:rPr>
                <w:rFonts w:ascii="Times New Roman" w:hAnsi="Times New Roman"/>
              </w:rPr>
              <w:br w:type="page"/>
            </w:r>
            <w:r>
              <w:rPr>
                <w:rFonts w:hint="eastAsia"/>
              </w:rPr>
              <w:t>本公司在</w:t>
            </w:r>
            <w:bookmarkStart w:id="15" w:name="生产地址"/>
            <w:r>
              <w:rPr>
                <w:rFonts w:asciiTheme="minorEastAsia" w:hAnsiTheme="minorEastAsia" w:eastAsiaTheme="minorEastAsia"/>
                <w:sz w:val="21"/>
                <w:szCs w:val="21"/>
              </w:rPr>
              <w:t>福建省福州市台江区五一南路20号西半座第六层</w:t>
            </w:r>
            <w:bookmarkEnd w:id="15"/>
            <w:r>
              <w:rPr>
                <w:rFonts w:hint="eastAsia" w:asciiTheme="minorEastAsia" w:hAnsiTheme="minorEastAsia" w:eastAsiaTheme="minorEastAsia"/>
                <w:sz w:val="21"/>
                <w:szCs w:val="21"/>
                <w:lang w:eastAsia="zh-CN"/>
              </w:rPr>
              <w:t>，</w:t>
            </w:r>
            <w:r>
              <w:rPr>
                <w:rFonts w:hint="eastAsia"/>
              </w:rPr>
              <w:t>由管理层、</w:t>
            </w:r>
            <w:r>
              <w:rPr>
                <w:rFonts w:hint="eastAsia"/>
                <w:lang w:val="en-US" w:eastAsia="zh-CN"/>
              </w:rPr>
              <w:t>商务</w:t>
            </w:r>
            <w:r>
              <w:rPr>
                <w:rFonts w:hint="eastAsia"/>
              </w:rPr>
              <w:t>部</w:t>
            </w:r>
            <w:r>
              <w:t>和</w:t>
            </w:r>
            <w:r>
              <w:rPr>
                <w:rFonts w:hint="eastAsia"/>
                <w:lang w:val="en-US" w:eastAsia="zh-CN"/>
              </w:rPr>
              <w:t>销售部</w:t>
            </w:r>
            <w:r>
              <w:rPr>
                <w:rFonts w:hint="eastAsia"/>
              </w:rPr>
              <w:t>组成</w:t>
            </w:r>
            <w:r>
              <w:t>，现有员</w:t>
            </w:r>
            <w:r>
              <w:rPr>
                <w:rFonts w:hint="eastAsia"/>
                <w:lang w:val="en-US" w:eastAsia="zh-CN"/>
              </w:rPr>
              <w:t>工15</w:t>
            </w:r>
            <w:r>
              <w:rPr>
                <w:rFonts w:hint="eastAsia"/>
              </w:rPr>
              <w:t>人。</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pStyle w:val="3"/>
              <w:spacing w:line="410" w:lineRule="exact"/>
              <w:ind w:firstLine="400" w:firstLineChars="200"/>
              <w:jc w:val="both"/>
              <w:rPr>
                <w:rFonts w:hint="eastAsia"/>
                <w:b w:val="0"/>
                <w:bCs/>
                <w:sz w:val="21"/>
                <w:szCs w:val="21"/>
              </w:rPr>
            </w:pPr>
            <w:r>
              <w:rPr>
                <w:rFonts w:hint="eastAsia" w:ascii="宋体" w:hAnsi="宋体" w:cs="宋体"/>
                <w:sz w:val="20"/>
                <w:szCs w:val="20"/>
              </w:rPr>
              <w:t>公司的管理方针是：</w:t>
            </w:r>
            <w:r>
              <w:rPr>
                <w:rFonts w:hint="eastAsia"/>
                <w:b w:val="0"/>
                <w:bCs/>
                <w:sz w:val="21"/>
                <w:szCs w:val="21"/>
              </w:rPr>
              <w:t>遵纪守法，爱护环境。安全第一，持续改进。</w:t>
            </w:r>
          </w:p>
          <w:p>
            <w:pPr>
              <w:spacing w:line="360" w:lineRule="auto"/>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60" w:lineRule="auto"/>
              <w:ind w:firstLine="400" w:firstLineChars="200"/>
              <w:rPr>
                <w:rFonts w:ascii="宋体" w:cs="宋体"/>
                <w:bCs/>
                <w:sz w:val="20"/>
                <w:szCs w:val="20"/>
              </w:rPr>
            </w:pPr>
            <w:r>
              <w:rPr>
                <w:rFonts w:hint="eastAsia" w:ascii="宋体" w:hAnsi="宋体" w:cs="宋体"/>
                <w:bCs/>
                <w:sz w:val="20"/>
                <w:szCs w:val="20"/>
                <w:lang w:val="en-US" w:eastAsia="zh-CN"/>
              </w:rPr>
              <w:t>商务部</w:t>
            </w:r>
            <w:r>
              <w:rPr>
                <w:rFonts w:hint="eastAsia" w:ascii="宋体" w:hAnsi="宋体" w:cs="宋体"/>
                <w:bCs/>
                <w:sz w:val="20"/>
                <w:szCs w:val="20"/>
              </w:rPr>
              <w:t>部长</w:t>
            </w:r>
            <w:r>
              <w:rPr>
                <w:rFonts w:hint="eastAsia" w:ascii="宋体" w:hAnsi="宋体" w:cs="宋体"/>
                <w:bCs/>
                <w:sz w:val="20"/>
                <w:szCs w:val="20"/>
                <w:lang w:val="en-US" w:eastAsia="zh-CN"/>
              </w:rPr>
              <w:t>李建花</w:t>
            </w:r>
            <w:r>
              <w:rPr>
                <w:rFonts w:hint="eastAsia" w:ascii="宋体" w:hAnsi="宋体" w:cs="宋体"/>
                <w:bCs/>
                <w:sz w:val="20"/>
                <w:szCs w:val="20"/>
              </w:rPr>
              <w:t>述：公司制订《环境因素识别与评价控制程序》和《危险源识别与风险评价控制程序》，根据</w:t>
            </w:r>
            <w:r>
              <w:rPr>
                <w:rFonts w:hint="eastAsia" w:ascii="宋体" w:hAnsi="宋体" w:cs="宋体"/>
                <w:bCs/>
                <w:sz w:val="20"/>
                <w:szCs w:val="20"/>
                <w:lang w:val="en-US" w:eastAsia="zh-CN"/>
              </w:rPr>
              <w:t>销售</w:t>
            </w:r>
            <w:r>
              <w:rPr>
                <w:rFonts w:hint="eastAsia" w:ascii="宋体" w:hAnsi="宋体" w:cs="宋体"/>
                <w:bCs/>
                <w:sz w:val="20"/>
                <w:szCs w:val="20"/>
              </w:rPr>
              <w:t>过程及工作特点对涉及的环境因素、危险源进行了识别和辨识。</w:t>
            </w:r>
          </w:p>
          <w:p>
            <w:pPr>
              <w:spacing w:line="360" w:lineRule="auto"/>
              <w:ind w:firstLine="400" w:firstLineChars="200"/>
              <w:rPr>
                <w:rFonts w:ascii="宋体" w:cs="宋体"/>
                <w:bCs/>
                <w:sz w:val="20"/>
                <w:szCs w:val="20"/>
              </w:rPr>
            </w:pPr>
            <w:r>
              <w:rPr>
                <w:rFonts w:hint="eastAsia" w:ascii="宋体" w:hAnsi="宋体" w:cs="宋体"/>
                <w:bCs/>
                <w:sz w:val="20"/>
                <w:szCs w:val="20"/>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spacing w:before="156" w:beforeLines="50" w:line="360" w:lineRule="auto"/>
              <w:rPr>
                <w:rFonts w:hint="eastAsia" w:ascii="宋体" w:hAnsi="宋体" w:eastAsia="宋体" w:cs="宋体"/>
                <w:bCs/>
                <w:sz w:val="21"/>
                <w:szCs w:val="21"/>
              </w:rPr>
            </w:pPr>
            <w:r>
              <w:rPr>
                <w:rFonts w:hint="eastAsia" w:ascii="宋体" w:hAnsi="宋体" w:eastAsia="宋体" w:cs="宋体"/>
                <w:bCs/>
                <w:sz w:val="21"/>
                <w:szCs w:val="21"/>
              </w:rPr>
              <w:t xml:space="preserve">参加环境因素辨识和评价人员： </w:t>
            </w:r>
            <w:r>
              <w:rPr>
                <w:rFonts w:hint="eastAsia"/>
                <w:sz w:val="21"/>
                <w:szCs w:val="21"/>
              </w:rPr>
              <w:t>林建敏、刘梅红、李建花、叶华捷</w:t>
            </w:r>
            <w:r>
              <w:rPr>
                <w:rFonts w:hint="eastAsia" w:ascii="宋体" w:hAnsi="宋体" w:eastAsia="宋体" w:cs="宋体"/>
                <w:bCs/>
                <w:sz w:val="21"/>
                <w:szCs w:val="21"/>
              </w:rPr>
              <w:t xml:space="preserve"> 日期：2019年</w:t>
            </w:r>
            <w:r>
              <w:rPr>
                <w:rFonts w:hint="eastAsia" w:ascii="宋体" w:hAnsi="宋体" w:cs="宋体"/>
                <w:bCs/>
                <w:sz w:val="21"/>
                <w:szCs w:val="21"/>
                <w:lang w:val="en-US" w:eastAsia="zh-CN"/>
              </w:rPr>
              <w:t>11</w:t>
            </w:r>
            <w:r>
              <w:rPr>
                <w:rFonts w:hint="eastAsia" w:ascii="宋体" w:hAnsi="宋体" w:eastAsia="宋体" w:cs="宋体"/>
                <w:bCs/>
                <w:sz w:val="21"/>
                <w:szCs w:val="21"/>
              </w:rPr>
              <w:t>月</w:t>
            </w:r>
            <w:r>
              <w:rPr>
                <w:rFonts w:hint="eastAsia" w:ascii="宋体" w:hAnsi="宋体" w:cs="宋体"/>
                <w:bCs/>
                <w:sz w:val="21"/>
                <w:szCs w:val="21"/>
                <w:lang w:val="en-US" w:eastAsia="zh-CN"/>
              </w:rPr>
              <w:t>1</w:t>
            </w:r>
            <w:r>
              <w:rPr>
                <w:rFonts w:hint="eastAsia" w:ascii="宋体" w:hAnsi="宋体" w:eastAsia="宋体" w:cs="宋体"/>
                <w:bCs/>
                <w:sz w:val="21"/>
                <w:szCs w:val="21"/>
              </w:rPr>
              <w:t xml:space="preserve">日 </w:t>
            </w:r>
          </w:p>
          <w:p>
            <w:pPr>
              <w:spacing w:before="156" w:beforeLines="50" w:line="360" w:lineRule="auto"/>
              <w:ind w:firstLine="420"/>
              <w:rPr>
                <w:rFonts w:hint="eastAsia" w:ascii="宋体" w:hAnsi="宋体" w:eastAsia="宋体" w:cs="宋体"/>
                <w:bCs/>
                <w:sz w:val="21"/>
                <w:szCs w:val="21"/>
              </w:rPr>
            </w:pPr>
            <w:r>
              <w:rPr>
                <w:rFonts w:hint="eastAsia" w:ascii="宋体" w:hAnsi="宋体" w:eastAsia="宋体" w:cs="宋体"/>
                <w:bCs/>
                <w:sz w:val="21"/>
                <w:szCs w:val="21"/>
              </w:rPr>
              <w:t>查到《重要环境因素清单》已识别重要环境因素包括：潜在火灾和</w:t>
            </w:r>
            <w:r>
              <w:rPr>
                <w:rFonts w:hint="eastAsia" w:ascii="宋体" w:hAnsi="宋体" w:eastAsia="宋体" w:cs="宋体"/>
                <w:bCs/>
                <w:sz w:val="21"/>
                <w:szCs w:val="21"/>
                <w:lang w:val="en-US" w:eastAsia="zh-CN"/>
              </w:rPr>
              <w:t>危险</w:t>
            </w:r>
            <w:r>
              <w:rPr>
                <w:rFonts w:hint="eastAsia" w:ascii="宋体" w:hAnsi="宋体" w:eastAsia="宋体" w:cs="宋体"/>
                <w:bCs/>
                <w:sz w:val="21"/>
                <w:szCs w:val="21"/>
              </w:rPr>
              <w:t>废弃物排放，明确控制措施和责任部门，</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分析检测</w:t>
            </w:r>
            <w:r>
              <w:rPr>
                <w:rFonts w:hint="eastAsia" w:ascii="宋体" w:hAnsi="宋体" w:eastAsia="宋体" w:cs="宋体"/>
                <w:bCs/>
                <w:sz w:val="21"/>
                <w:szCs w:val="21"/>
              </w:rPr>
              <w:t>部危险源有：</w:t>
            </w:r>
            <w:r>
              <w:rPr>
                <w:rFonts w:hint="eastAsia" w:asciiTheme="majorEastAsia" w:hAnsiTheme="majorEastAsia" w:eastAsiaTheme="majorEastAsia" w:cstheme="majorEastAsia"/>
                <w:sz w:val="21"/>
                <w:szCs w:val="21"/>
              </w:rPr>
              <w:t>火灾、</w:t>
            </w:r>
            <w:r>
              <w:rPr>
                <w:rFonts w:hint="eastAsia" w:asciiTheme="majorEastAsia" w:hAnsiTheme="majorEastAsia" w:eastAsiaTheme="majorEastAsia" w:cstheme="majorEastAsia"/>
                <w:sz w:val="21"/>
                <w:szCs w:val="21"/>
                <w:lang w:val="en-US" w:eastAsia="zh-CN"/>
              </w:rPr>
              <w:t>意外伤害、中暑、疫情伤害</w:t>
            </w:r>
            <w:r>
              <w:rPr>
                <w:rFonts w:hint="eastAsia" w:ascii="宋体" w:hAnsi="宋体" w:eastAsia="宋体" w:cs="宋体"/>
                <w:bCs/>
                <w:sz w:val="21"/>
                <w:szCs w:val="21"/>
              </w:rPr>
              <w:t>等。优先控制风险采用“LEC”方法进行评价。提供《不可接受风险清单》有：</w:t>
            </w:r>
            <w:r>
              <w:rPr>
                <w:rFonts w:hint="eastAsia" w:asciiTheme="majorEastAsia" w:hAnsiTheme="majorEastAsia" w:eastAsiaTheme="majorEastAsia" w:cstheme="majorEastAsia"/>
                <w:sz w:val="21"/>
                <w:szCs w:val="21"/>
              </w:rPr>
              <w:t>火灾、</w:t>
            </w:r>
            <w:r>
              <w:rPr>
                <w:rFonts w:hint="eastAsia" w:asciiTheme="majorEastAsia" w:hAnsiTheme="majorEastAsia" w:eastAsiaTheme="majorEastAsia" w:cstheme="majorEastAsia"/>
                <w:sz w:val="21"/>
                <w:szCs w:val="21"/>
                <w:lang w:val="en-US" w:eastAsia="zh-CN"/>
              </w:rPr>
              <w:t>意外伤害、中暑、疫情伤害</w:t>
            </w:r>
            <w:r>
              <w:rPr>
                <w:rFonts w:hint="eastAsia" w:ascii="宋体" w:hAnsi="宋体" w:eastAsia="宋体" w:cs="宋体"/>
                <w:bCs/>
                <w:sz w:val="21"/>
                <w:szCs w:val="21"/>
              </w:rPr>
              <w:t>，并制定有控制措施。</w:t>
            </w:r>
          </w:p>
          <w:p>
            <w:pPr>
              <w:spacing w:line="360" w:lineRule="auto"/>
              <w:rPr>
                <w:b/>
                <w:color w:val="000000"/>
                <w:sz w:val="20"/>
                <w:szCs w:val="20"/>
              </w:rPr>
            </w:pPr>
            <w:r>
              <w:rPr>
                <w:rFonts w:hint="eastAsia" w:ascii="宋体" w:hAnsi="宋体" w:eastAsia="宋体" w:cs="宋体"/>
                <w:bCs/>
                <w:sz w:val="21"/>
                <w:szCs w:val="21"/>
              </w:rPr>
              <w:t>评价人：</w:t>
            </w:r>
            <w:r>
              <w:rPr>
                <w:rFonts w:hint="eastAsia"/>
                <w:sz w:val="21"/>
                <w:szCs w:val="21"/>
              </w:rPr>
              <w:t>林建敏、刘梅红、李建花、叶华捷</w:t>
            </w:r>
            <w:r>
              <w:rPr>
                <w:rFonts w:hint="eastAsia" w:ascii="宋体" w:hAnsi="宋体" w:eastAsia="宋体" w:cs="宋体"/>
                <w:bCs/>
                <w:sz w:val="21"/>
                <w:szCs w:val="21"/>
              </w:rPr>
              <w:t xml:space="preserve">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安全环境目标：</w:t>
            </w:r>
          </w:p>
          <w:p>
            <w:pPr>
              <w:spacing w:line="410" w:lineRule="exact"/>
              <w:ind w:firstLine="422" w:firstLineChars="200"/>
              <w:rPr>
                <w:rFonts w:hint="eastAsia" w:ascii="Arial" w:hAnsi="Arial" w:cs="Arial"/>
                <w:b/>
                <w:bCs/>
                <w:sz w:val="21"/>
                <w:szCs w:val="21"/>
              </w:rPr>
            </w:pPr>
            <w:r>
              <w:rPr>
                <w:rFonts w:hint="eastAsia" w:ascii="Arial" w:hAnsi="Arial" w:cs="Arial"/>
                <w:b/>
                <w:bCs/>
                <w:sz w:val="21"/>
                <w:szCs w:val="21"/>
              </w:rPr>
              <w:t>环境目标：</w:t>
            </w:r>
          </w:p>
          <w:p>
            <w:pPr>
              <w:spacing w:line="410" w:lineRule="exact"/>
              <w:ind w:firstLine="420" w:firstLineChars="200"/>
              <w:rPr>
                <w:rFonts w:hint="eastAsia" w:ascii="Arial" w:hAnsi="Arial" w:cs="Arial"/>
                <w:sz w:val="21"/>
                <w:szCs w:val="21"/>
              </w:rPr>
            </w:pPr>
            <w:r>
              <w:rPr>
                <w:rFonts w:hint="eastAsia" w:ascii="Arial" w:hAnsi="Arial" w:cs="Arial"/>
                <w:sz w:val="21"/>
                <w:szCs w:val="21"/>
              </w:rPr>
              <w:t>1.固体废弃物分类管理，处置率100%；</w:t>
            </w:r>
          </w:p>
          <w:p>
            <w:pPr>
              <w:spacing w:line="410" w:lineRule="exact"/>
              <w:ind w:firstLine="420" w:firstLineChars="200"/>
              <w:rPr>
                <w:rFonts w:hint="eastAsia" w:ascii="Arial" w:hAnsi="Arial" w:cs="Arial"/>
                <w:sz w:val="21"/>
                <w:szCs w:val="21"/>
              </w:rPr>
            </w:pPr>
            <w:r>
              <w:rPr>
                <w:rFonts w:hint="eastAsia" w:ascii="Arial" w:hAnsi="Arial" w:cs="Arial"/>
                <w:sz w:val="21"/>
                <w:szCs w:val="21"/>
              </w:rPr>
              <w:t>2.杜绝火灾事故。</w:t>
            </w:r>
          </w:p>
          <w:p>
            <w:pPr>
              <w:spacing w:line="410" w:lineRule="exact"/>
              <w:ind w:firstLine="422" w:firstLineChars="200"/>
              <w:rPr>
                <w:rFonts w:hint="eastAsia" w:ascii="Arial" w:hAnsi="Arial" w:cs="Arial"/>
                <w:b/>
                <w:bCs/>
                <w:sz w:val="21"/>
                <w:szCs w:val="21"/>
              </w:rPr>
            </w:pPr>
            <w:r>
              <w:rPr>
                <w:rFonts w:hint="eastAsia" w:ascii="Arial" w:hAnsi="Arial" w:cs="Arial"/>
                <w:b/>
                <w:bCs/>
                <w:sz w:val="21"/>
                <w:szCs w:val="21"/>
              </w:rPr>
              <w:t>职业健康安全目标：</w:t>
            </w:r>
          </w:p>
          <w:p>
            <w:pPr>
              <w:numPr>
                <w:ilvl w:val="0"/>
                <w:numId w:val="3"/>
              </w:numPr>
              <w:spacing w:line="410" w:lineRule="exact"/>
              <w:ind w:firstLine="420" w:firstLineChars="200"/>
              <w:rPr>
                <w:rFonts w:hint="eastAsia" w:ascii="Arial" w:hAnsi="Arial" w:cs="Arial"/>
                <w:sz w:val="21"/>
                <w:szCs w:val="21"/>
              </w:rPr>
            </w:pPr>
            <w:r>
              <w:rPr>
                <w:rFonts w:hint="eastAsia" w:ascii="Arial" w:hAnsi="Arial" w:cs="Arial"/>
                <w:sz w:val="21"/>
                <w:szCs w:val="21"/>
              </w:rPr>
              <w:t>触电</w:t>
            </w:r>
            <w:r>
              <w:rPr>
                <w:rFonts w:hint="eastAsia" w:ascii="Arial" w:hAnsi="Arial" w:cs="Arial"/>
                <w:sz w:val="21"/>
                <w:szCs w:val="21"/>
                <w:lang w:val="en-US" w:eastAsia="zh-CN"/>
              </w:rPr>
              <w:t>事故为0次/年;</w:t>
            </w:r>
          </w:p>
          <w:p>
            <w:pPr>
              <w:numPr>
                <w:ilvl w:val="0"/>
                <w:numId w:val="3"/>
              </w:numPr>
              <w:spacing w:line="410" w:lineRule="exact"/>
              <w:ind w:firstLine="420" w:firstLineChars="200"/>
              <w:rPr>
                <w:rFonts w:hint="eastAsia" w:ascii="Arial" w:hAnsi="Arial" w:cs="Arial"/>
                <w:sz w:val="21"/>
                <w:szCs w:val="21"/>
              </w:rPr>
            </w:pPr>
            <w:r>
              <w:rPr>
                <w:rFonts w:hint="eastAsia" w:ascii="Arial" w:hAnsi="Arial" w:cs="Arial"/>
                <w:sz w:val="21"/>
                <w:szCs w:val="21"/>
              </w:rPr>
              <w:t>火灾事故</w:t>
            </w:r>
            <w:r>
              <w:rPr>
                <w:rFonts w:hint="eastAsia" w:ascii="Arial" w:hAnsi="Arial" w:cs="Arial"/>
                <w:sz w:val="21"/>
                <w:szCs w:val="21"/>
                <w:lang w:val="en-US" w:eastAsia="zh-CN"/>
              </w:rPr>
              <w:t>为0次/年</w:t>
            </w:r>
            <w:r>
              <w:rPr>
                <w:rFonts w:hint="eastAsia" w:ascii="Arial" w:hAnsi="Arial" w:cs="Arial"/>
                <w:sz w:val="21"/>
                <w:szCs w:val="21"/>
              </w:rPr>
              <w:t>；</w:t>
            </w:r>
          </w:p>
          <w:p>
            <w:pPr>
              <w:spacing w:line="410" w:lineRule="exact"/>
              <w:ind w:firstLine="420" w:firstLineChars="200"/>
              <w:rPr>
                <w:rFonts w:hint="eastAsia" w:ascii="Arial" w:hAnsi="Arial" w:cs="Arial"/>
                <w:sz w:val="21"/>
                <w:szCs w:val="21"/>
                <w:lang w:val="en-US" w:eastAsia="zh-CN"/>
              </w:rPr>
            </w:pPr>
            <w:r>
              <w:rPr>
                <w:rFonts w:hint="eastAsia" w:ascii="Arial" w:hAnsi="Arial" w:cs="Arial"/>
                <w:sz w:val="21"/>
                <w:szCs w:val="21"/>
                <w:lang w:val="en-US" w:eastAsia="zh-CN"/>
              </w:rPr>
              <w:t>3.交通意外事故为0次/年。</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对公司环境、职业健康安全目标、指标予以分解，并在相关职能层次部门建立分目标，查见《环境\职业健康安全目标分解考核表》，20</w:t>
            </w:r>
            <w:r>
              <w:rPr>
                <w:rFonts w:hint="eastAsia" w:ascii="宋体" w:hAnsi="宋体" w:cs="宋体"/>
                <w:color w:val="000000"/>
                <w:sz w:val="21"/>
                <w:szCs w:val="21"/>
                <w:lang w:val="en-US" w:eastAsia="zh-CN"/>
              </w:rPr>
              <w:t>20.6.30</w:t>
            </w:r>
            <w:r>
              <w:rPr>
                <w:rFonts w:hint="eastAsia" w:ascii="宋体" w:hAnsi="宋体" w:eastAsia="宋体" w:cs="宋体"/>
                <w:color w:val="000000"/>
                <w:sz w:val="21"/>
                <w:szCs w:val="21"/>
                <w:lang w:val="en-US" w:eastAsia="zh-CN"/>
              </w:rPr>
              <w:t>月</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lang w:val="en-US" w:eastAsia="zh-CN"/>
              </w:rPr>
              <w:t>11.1</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11.1</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18</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商务</w:t>
            </w:r>
            <w:r>
              <w:rPr>
                <w:rFonts w:hint="eastAsia"/>
              </w:rPr>
              <w:t>部管理手册、管理制度等文件均保管良好，为有效版本，有受控标识。</w:t>
            </w:r>
          </w:p>
          <w:p>
            <w:pPr>
              <w:ind w:firstLine="420" w:firstLineChars="200"/>
            </w:pPr>
            <w:r>
              <w:rPr>
                <w:rFonts w:hint="eastAsia"/>
                <w:lang w:val="en-US" w:eastAsia="zh-CN"/>
              </w:rPr>
              <w:t>商务</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商务</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综合部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1"/>
                <w:szCs w:val="21"/>
              </w:rPr>
              <w:t>电缆附件的销售</w:t>
            </w:r>
            <w:r>
              <w:rPr>
                <w:rFonts w:hint="eastAsia" w:ascii="宋体" w:hAnsi="宋体"/>
                <w:szCs w:val="21"/>
              </w:rPr>
              <w:t>：</w:t>
            </w:r>
            <w:r>
              <w:rPr>
                <w:rFonts w:hint="eastAsia" w:ascii="宋体" w:hAnsi="宋体"/>
                <w:szCs w:val="21"/>
                <w:lang w:val="en-US" w:eastAsia="zh-CN"/>
              </w:rPr>
              <w:t>业务</w:t>
            </w:r>
            <w:r>
              <w:rPr>
                <w:rFonts w:hint="eastAsia" w:ascii="宋体" w:hAnsi="宋体" w:cs="宋体"/>
                <w:szCs w:val="21"/>
              </w:rPr>
              <w:t>人员均为大专或以上学历、上岗前经过岗前培训。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b/>
                <w:color w:val="000000"/>
                <w:sz w:val="20"/>
                <w:szCs w:val="20"/>
                <w:lang w:val="en-US" w:eastAsia="zh-CN"/>
              </w:rPr>
            </w:pPr>
            <w:r>
              <w:rPr>
                <w:rFonts w:hint="eastAsia" w:ascii="宋体" w:hAnsi="宋体" w:cs="宋体"/>
                <w:sz w:val="21"/>
                <w:szCs w:val="21"/>
                <w:lang w:val="en-US" w:eastAsia="zh-CN"/>
              </w:rPr>
              <w:t>配备了</w:t>
            </w:r>
            <w:r>
              <w:rPr>
                <w:rFonts w:hint="eastAsia" w:ascii="宋体" w:hAnsi="宋体"/>
                <w:color w:val="auto"/>
                <w:spacing w:val="-10"/>
                <w:sz w:val="20"/>
                <w:szCs w:val="20"/>
                <w:lang w:val="en-US" w:eastAsia="zh-CN"/>
              </w:rPr>
              <w:t>电脑、打印机、扫描仪、投影仪等办公设备和灭火器等安全环保设施</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1"/>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环境卫生管理，工作场所布局合理，温湿度适宜，照明良好，满足办公需求。有“办公环境卫生管理制度”、“安全防火规定等规章制度”等规章制度。运行环境满足要求</w:t>
            </w:r>
          </w:p>
          <w:p>
            <w:pPr>
              <w:pStyle w:val="11"/>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林建敏</w:t>
            </w:r>
            <w:r>
              <w:rPr>
                <w:rFonts w:hint="eastAsia" w:ascii="宋体" w:hAnsi="宋体"/>
                <w:szCs w:val="21"/>
              </w:rPr>
              <w:t>，管理者代表：</w:t>
            </w:r>
            <w:r>
              <w:rPr>
                <w:rFonts w:hint="eastAsia" w:ascii="宋体" w:hAnsi="宋体"/>
                <w:szCs w:val="21"/>
                <w:lang w:val="en-US" w:eastAsia="zh-CN"/>
              </w:rPr>
              <w:t>刘梅红</w:t>
            </w:r>
            <w:r>
              <w:rPr>
                <w:rFonts w:hint="eastAsia" w:ascii="宋体" w:hAnsi="宋体"/>
                <w:szCs w:val="21"/>
              </w:rPr>
              <w:t>，安全事务代表：</w:t>
            </w:r>
            <w:r>
              <w:rPr>
                <w:rFonts w:hint="eastAsia" w:ascii="宋体" w:hAnsi="宋体"/>
                <w:szCs w:val="21"/>
                <w:lang w:val="en-US" w:eastAsia="zh-CN"/>
              </w:rPr>
              <w:t>胡桂君</w:t>
            </w:r>
            <w:r>
              <w:rPr>
                <w:rFonts w:hint="eastAsia" w:ascii="宋体" w:hAnsi="宋体"/>
                <w:szCs w:val="21"/>
              </w:rPr>
              <w:t>，</w:t>
            </w:r>
            <w:r>
              <w:rPr>
                <w:rFonts w:hint="eastAsia" w:ascii="宋体" w:hAnsi="宋体"/>
                <w:szCs w:val="21"/>
                <w:lang w:val="en-US" w:eastAsia="zh-CN"/>
              </w:rPr>
              <w:t>商务部及销售部负责人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商务部</w:t>
            </w:r>
            <w:r>
              <w:rPr>
                <w:rFonts w:hint="eastAsia" w:ascii="宋体" w:hAnsi="宋体" w:cs="宋体"/>
                <w:szCs w:val="21"/>
              </w:rPr>
              <w:t>反馈。</w:t>
            </w:r>
            <w:r>
              <w:rPr>
                <w:rFonts w:hint="eastAsia" w:ascii="宋体" w:hAnsi="宋体" w:cs="宋体"/>
                <w:szCs w:val="21"/>
                <w:lang w:val="en-US" w:eastAsia="zh-CN"/>
              </w:rPr>
              <w:t>销售</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胡桂君</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胡桂君</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企业位</w:t>
            </w:r>
            <w:r>
              <w:rPr>
                <w:rFonts w:hint="eastAsia" w:ascii="宋体" w:hAnsi="宋体" w:eastAsia="宋体" w:cs="宋体"/>
                <w:spacing w:val="20"/>
                <w:sz w:val="21"/>
                <w:szCs w:val="21"/>
                <w:lang w:val="de-DE"/>
              </w:rPr>
              <w:t>位于</w:t>
            </w:r>
            <w:r>
              <w:rPr>
                <w:rFonts w:asciiTheme="minorEastAsia" w:hAnsiTheme="minorEastAsia" w:eastAsiaTheme="minorEastAsia"/>
                <w:sz w:val="20"/>
              </w:rPr>
              <w:t>福建省福州市台江区五一南路20号西半座第六层</w:t>
            </w:r>
            <w:r>
              <w:rPr>
                <w:rFonts w:hint="eastAsia" w:ascii="宋体" w:hAnsi="宋体" w:eastAsia="宋体" w:cs="宋体"/>
                <w:spacing w:val="20"/>
                <w:sz w:val="21"/>
                <w:szCs w:val="21"/>
                <w:lang w:val="de-DE"/>
              </w:rPr>
              <w:t>，</w:t>
            </w:r>
            <w:r>
              <w:rPr>
                <w:rFonts w:hint="eastAsia" w:ascii="宋体" w:hAnsi="宋体" w:eastAsia="宋体" w:cs="宋体"/>
                <w:sz w:val="21"/>
                <w:szCs w:val="21"/>
              </w:rPr>
              <w:t>公司四周是其他企业或居民，无重大敏感区，根据体系运行的需要设置了办公</w:t>
            </w:r>
            <w:r>
              <w:rPr>
                <w:rFonts w:hint="eastAsia" w:ascii="宋体" w:hAnsi="宋体" w:eastAsia="宋体" w:cs="宋体"/>
                <w:sz w:val="21"/>
                <w:szCs w:val="21"/>
                <w:lang w:val="en-US" w:eastAsia="zh-CN"/>
              </w:rPr>
              <w:t>室</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商务</w:t>
            </w:r>
            <w:r>
              <w:rPr>
                <w:rFonts w:hint="eastAsia" w:ascii="宋体" w:hAnsi="宋体" w:eastAsia="宋体" w:cs="宋体"/>
                <w:sz w:val="21"/>
                <w:szCs w:val="21"/>
              </w:rPr>
              <w:t>部定期组织环保和安全知识培训，员工具备了基本的环保和职业健康安全防护意识，见7.3条款审核记录。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办公室垃圾主要包含可回收垃圾、硒鼓、废纸。公司配置了垃圾箱，办公室统一处理。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w:t>
            </w:r>
            <w:r>
              <w:rPr>
                <w:rFonts w:hint="eastAsia" w:ascii="宋体" w:hAnsi="宋体" w:cs="宋体"/>
                <w:sz w:val="21"/>
                <w:szCs w:val="21"/>
                <w:lang w:val="en-US" w:eastAsia="zh-CN"/>
              </w:rPr>
              <w:t>商务</w:t>
            </w:r>
            <w:r>
              <w:rPr>
                <w:rFonts w:hint="eastAsia" w:ascii="宋体" w:hAnsi="宋体" w:eastAsia="宋体" w:cs="宋体"/>
                <w:sz w:val="21"/>
                <w:szCs w:val="21"/>
                <w:lang w:val="en-US" w:eastAsia="zh-CN"/>
              </w:rPr>
              <w:t>部</w:t>
            </w:r>
            <w:r>
              <w:rPr>
                <w:rFonts w:hint="eastAsia" w:ascii="宋体" w:hAnsi="宋体" w:eastAsia="宋体" w:cs="宋体"/>
                <w:sz w:val="21"/>
                <w:szCs w:val="21"/>
              </w:rPr>
              <w:t>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为满足环境和职业健康安全体系的运行，公司投入了环保及安全资金，主要是购买消防设施、环保设施、劳保用品、社保等，运行至今支出约</w:t>
            </w:r>
            <w:r>
              <w:rPr>
                <w:rFonts w:hint="eastAsia" w:ascii="宋体" w:hAnsi="宋体" w:cs="宋体"/>
                <w:sz w:val="21"/>
                <w:szCs w:val="21"/>
                <w:lang w:val="en-US" w:eastAsia="zh-CN"/>
              </w:rPr>
              <w:t>2.45</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现场巡视办公</w:t>
            </w:r>
            <w:r>
              <w:rPr>
                <w:rFonts w:hint="eastAsia" w:asciiTheme="majorEastAsia" w:hAnsiTheme="majorEastAsia" w:eastAsiaTheme="majorEastAsia" w:cstheme="majorEastAsia"/>
                <w:sz w:val="21"/>
                <w:szCs w:val="21"/>
                <w:lang w:val="en-US" w:eastAsia="zh-CN"/>
              </w:rPr>
              <w:t>和仓库</w:t>
            </w:r>
            <w:r>
              <w:rPr>
                <w:rFonts w:hint="eastAsia" w:asciiTheme="majorEastAsia" w:hAnsiTheme="majorEastAsia" w:eastAsiaTheme="majorEastAsia" w:cstheme="majorEastAsia"/>
                <w:sz w:val="21"/>
                <w:szCs w:val="21"/>
              </w:rPr>
              <w:t>区域</w:t>
            </w:r>
            <w:r>
              <w:rPr>
                <w:rFonts w:hint="eastAsia" w:asciiTheme="majorEastAsia" w:hAnsiTheme="majorEastAsia" w:eastAsiaTheme="majorEastAsia" w:cstheme="majorEastAsia"/>
                <w:sz w:val="21"/>
                <w:szCs w:val="21"/>
                <w:lang w:val="en-US" w:eastAsia="zh-CN"/>
              </w:rPr>
              <w:t>未按要求配置灭火器，开具了不符合。</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21"/>
                <w:szCs w:val="21"/>
              </w:rPr>
              <w:t>部门运行控制基本符合要求。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p>
          <w:p>
            <w:pPr>
              <w:spacing w:line="240" w:lineRule="exact"/>
              <w:rPr>
                <w:b/>
                <w:color w:val="000000"/>
                <w:sz w:val="21"/>
                <w:szCs w:val="21"/>
              </w:rPr>
            </w:pPr>
            <w:r>
              <w:rPr>
                <w:rFonts w:hint="eastAsia"/>
                <w:color w:val="000000"/>
                <w:sz w:val="21"/>
                <w:szCs w:val="21"/>
              </w:rPr>
              <w:t>（见上：</w:t>
            </w:r>
            <w:r>
              <w:rPr>
                <w:color w:val="000000"/>
                <w:sz w:val="21"/>
                <w:szCs w:val="21"/>
              </w:rPr>
              <w:t>7 EMS</w:t>
            </w:r>
            <w:r>
              <w:rPr>
                <w:rFonts w:hint="eastAsia"/>
                <w:color w:val="000000"/>
                <w:sz w:val="21"/>
                <w:szCs w:val="21"/>
              </w:rPr>
              <w:t>组织对重要环境因素实施控制的结果</w:t>
            </w:r>
            <w:r>
              <w:rPr>
                <w:color w:val="000000"/>
                <w:sz w:val="21"/>
                <w:szCs w:val="21"/>
              </w:rPr>
              <w:t>/ OHSMS</w:t>
            </w:r>
            <w:r>
              <w:rPr>
                <w:rFonts w:hint="eastAsia"/>
                <w:color w:val="000000"/>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ind w:firstLine="210" w:firstLineChars="100"/>
              <w:rPr>
                <w:rFonts w:hint="eastAsia" w:ascii="宋体" w:hAnsi="宋体" w:eastAsia="宋体" w:cs="宋体"/>
                <w:bCs/>
                <w:sz w:val="21"/>
                <w:szCs w:val="21"/>
              </w:rPr>
            </w:pPr>
            <w:r>
              <w:rPr>
                <w:rFonts w:hint="eastAsia" w:ascii="宋体" w:hAnsi="宋体" w:eastAsia="宋体" w:cs="宋体"/>
                <w:bCs/>
                <w:sz w:val="21"/>
                <w:szCs w:val="21"/>
              </w:rPr>
              <w:t>负责人介绍，公司制定《应急准备和响应控制程序》、《应急救援预案》等，包括：火灾、</w:t>
            </w:r>
            <w:r>
              <w:rPr>
                <w:rFonts w:hint="eastAsia" w:ascii="宋体" w:hAnsi="宋体" w:eastAsia="宋体" w:cs="宋体"/>
                <w:bCs/>
                <w:sz w:val="21"/>
                <w:szCs w:val="21"/>
                <w:lang w:val="en-US" w:eastAsia="zh-CN"/>
              </w:rPr>
              <w:t>触电、高温中暑</w:t>
            </w:r>
            <w:r>
              <w:rPr>
                <w:rFonts w:hint="eastAsia" w:ascii="宋体" w:hAnsi="宋体" w:eastAsia="宋体" w:cs="宋体"/>
                <w:bCs/>
                <w:sz w:val="21"/>
                <w:szCs w:val="21"/>
              </w:rPr>
              <w:t>应急预案</w:t>
            </w:r>
          </w:p>
          <w:p>
            <w:pPr>
              <w:rPr>
                <w:rFonts w:hint="eastAsia" w:ascii="宋体" w:hAnsi="宋体" w:eastAsia="宋体" w:cs="宋体"/>
                <w:bCs/>
                <w:sz w:val="21"/>
                <w:szCs w:val="21"/>
              </w:rPr>
            </w:pPr>
            <w:r>
              <w:rPr>
                <w:rFonts w:hint="eastAsia" w:ascii="宋体" w:hAnsi="宋体" w:eastAsia="宋体" w:cs="宋体"/>
                <w:bCs/>
                <w:sz w:val="21"/>
                <w:szCs w:val="21"/>
              </w:rPr>
              <w:t>见：《</w:t>
            </w:r>
            <w:r>
              <w:rPr>
                <w:rFonts w:hint="eastAsia" w:ascii="宋体" w:hAnsi="宋体" w:eastAsia="宋体" w:cs="宋体"/>
                <w:bCs/>
                <w:sz w:val="21"/>
                <w:szCs w:val="21"/>
                <w:lang w:val="en-US" w:eastAsia="zh-CN"/>
              </w:rPr>
              <w:t>触电</w:t>
            </w:r>
            <w:r>
              <w:rPr>
                <w:rFonts w:hint="eastAsia" w:ascii="宋体" w:hAnsi="宋体" w:eastAsia="宋体" w:cs="宋体"/>
                <w:bCs/>
                <w:sz w:val="21"/>
                <w:szCs w:val="21"/>
              </w:rPr>
              <w:t>预案演练记录》</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演练时间 ：20</w:t>
            </w:r>
            <w:r>
              <w:rPr>
                <w:rFonts w:hint="eastAsia" w:ascii="宋体" w:hAnsi="宋体" w:cs="宋体"/>
                <w:bCs/>
                <w:sz w:val="21"/>
                <w:szCs w:val="21"/>
                <w:lang w:val="en-US" w:eastAsia="zh-CN"/>
              </w:rPr>
              <w:t>20</w:t>
            </w:r>
            <w:r>
              <w:rPr>
                <w:rFonts w:hint="eastAsia" w:ascii="宋体" w:hAnsi="宋体" w:eastAsia="宋体" w:cs="宋体"/>
                <w:bCs/>
                <w:sz w:val="21"/>
                <w:szCs w:val="21"/>
              </w:rPr>
              <w:t>年</w:t>
            </w:r>
            <w:r>
              <w:rPr>
                <w:rFonts w:hint="eastAsia" w:ascii="宋体" w:hAnsi="宋体" w:cs="宋体"/>
                <w:bCs/>
                <w:sz w:val="21"/>
                <w:szCs w:val="21"/>
                <w:lang w:val="en-US" w:eastAsia="zh-CN"/>
              </w:rPr>
              <w:t>4</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5</w:t>
            </w:r>
            <w:r>
              <w:rPr>
                <w:rFonts w:hint="eastAsia" w:ascii="宋体" w:hAnsi="宋体" w:eastAsia="宋体" w:cs="宋体"/>
                <w:bCs/>
                <w:sz w:val="21"/>
                <w:szCs w:val="21"/>
              </w:rPr>
              <w:t>日</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演练地点：</w:t>
            </w:r>
            <w:r>
              <w:rPr>
                <w:rFonts w:hint="eastAsia" w:ascii="宋体" w:hAnsi="宋体" w:eastAsia="宋体" w:cs="宋体"/>
                <w:bCs/>
                <w:sz w:val="21"/>
                <w:szCs w:val="21"/>
                <w:lang w:val="en-US" w:eastAsia="zh-CN"/>
              </w:rPr>
              <w:t>办公室</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演练部门：全体部门</w:t>
            </w:r>
            <w:r>
              <w:rPr>
                <w:rFonts w:hint="eastAsia" w:ascii="宋体" w:hAnsi="宋体" w:eastAsia="宋体" w:cs="宋体"/>
                <w:bCs/>
                <w:sz w:val="21"/>
                <w:szCs w:val="21"/>
                <w:lang w:val="en-US" w:eastAsia="zh-CN"/>
              </w:rPr>
              <w:t>和员工</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演练总指挥：总经理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参加人员各部门部长。过程记录详细。</w:t>
            </w:r>
          </w:p>
          <w:p>
            <w:pPr>
              <w:pStyle w:val="22"/>
              <w:ind w:firstLine="460" w:firstLineChars="200"/>
              <w:rPr>
                <w:rFonts w:hint="eastAsia" w:ascii="宋体" w:hAnsi="宋体" w:eastAsia="宋体" w:cs="宋体"/>
                <w:sz w:val="21"/>
                <w:szCs w:val="21"/>
              </w:rPr>
            </w:pPr>
            <w:r>
              <w:rPr>
                <w:rFonts w:hint="eastAsia" w:ascii="宋体" w:hAnsi="宋体" w:eastAsia="宋体" w:cs="宋体"/>
                <w:sz w:val="21"/>
                <w:szCs w:val="21"/>
              </w:rPr>
              <w:t>演练中不但讲解了</w:t>
            </w:r>
            <w:r>
              <w:rPr>
                <w:rFonts w:hint="eastAsia" w:ascii="宋体" w:hAnsi="宋体" w:eastAsia="宋体" w:cs="宋体"/>
                <w:sz w:val="21"/>
                <w:szCs w:val="21"/>
                <w:lang w:val="en-US" w:eastAsia="zh-CN"/>
              </w:rPr>
              <w:t>触电</w:t>
            </w:r>
            <w:r>
              <w:rPr>
                <w:rFonts w:hint="eastAsia" w:ascii="宋体" w:hAnsi="宋体" w:eastAsia="宋体" w:cs="宋体"/>
                <w:sz w:val="21"/>
                <w:szCs w:val="21"/>
              </w:rPr>
              <w:t>发生后的处理流程，包括汇报机制，通知医院，疏导交通保证救援通道畅通，实施抢救等，并在演练结束后进行了总结，应急预案有可操作性，应急人员基本掌握该方案，能够应对突发事件。</w:t>
            </w:r>
          </w:p>
          <w:p>
            <w:pPr>
              <w:pStyle w:val="22"/>
              <w:ind w:firstLine="230" w:firstLineChars="1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针对近期出现的新型冠状病毒引发的肺炎疫情，公司制定了《</w:t>
            </w:r>
            <w:r>
              <w:rPr>
                <w:rFonts w:hint="eastAsia" w:asciiTheme="majorEastAsia" w:hAnsiTheme="majorEastAsia" w:eastAsiaTheme="majorEastAsia" w:cstheme="majorEastAsia"/>
                <w:bCs/>
                <w:sz w:val="21"/>
                <w:szCs w:val="21"/>
                <w:lang w:val="en-US" w:eastAsia="zh-CN"/>
              </w:rPr>
              <w:t>疫情预案</w:t>
            </w:r>
            <w:r>
              <w:rPr>
                <w:rFonts w:hint="eastAsia" w:asciiTheme="majorEastAsia" w:hAnsiTheme="majorEastAsia" w:eastAsiaTheme="majorEastAsia" w:cstheme="majorEastAsia"/>
                <w:sz w:val="21"/>
                <w:szCs w:val="21"/>
                <w:lang w:val="en-US" w:eastAsia="zh-CN"/>
              </w:rPr>
              <w:t>》，通过视频看到公司已经恢复销售，员工佩带口罩在岗位上操作，进出办公区域测量体温，严格按政府和预案的要求执行。</w:t>
            </w:r>
          </w:p>
          <w:p>
            <w:pPr>
              <w:spacing w:line="240" w:lineRule="exact"/>
              <w:rPr>
                <w:b/>
                <w:color w:val="000000"/>
                <w:spacing w:val="-4"/>
                <w:sz w:val="21"/>
                <w:szCs w:val="21"/>
              </w:rPr>
            </w:pPr>
            <w:r>
              <w:rPr>
                <w:rFonts w:hint="eastAsia" w:ascii="宋体" w:hAnsi="宋体" w:eastAsia="宋体" w:cs="宋体"/>
                <w:bCs/>
                <w:sz w:val="21"/>
                <w:szCs w:val="21"/>
              </w:rPr>
              <w:t>基本符合。</w:t>
            </w:r>
            <w:r>
              <w:rPr>
                <w:rFonts w:hint="eastAsia" w:ascii="宋体" w:hAnsi="宋体" w:eastAsia="宋体" w:cs="宋体"/>
                <w:sz w:val="21"/>
                <w:szCs w:val="21"/>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4"/>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4"/>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欧阳炜煌</w:t>
            </w:r>
            <w:r>
              <w:rPr>
                <w:rFonts w:hint="eastAsia" w:ascii="宋体" w:hAnsi="宋体" w:eastAsia="宋体" w:cs="宋体"/>
                <w:sz w:val="21"/>
                <w:szCs w:val="21"/>
              </w:rPr>
              <w:t>组织内部审核，查年度审核计划：提供《内部审核计划》，其内容已包括了审核目的、范围、依据。</w:t>
            </w:r>
          </w:p>
          <w:p>
            <w:pPr>
              <w:spacing w:line="280" w:lineRule="exact"/>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cs="宋体"/>
                <w:sz w:val="21"/>
                <w:szCs w:val="21"/>
                <w:lang w:val="en-US" w:eastAsia="zh-CN"/>
              </w:rPr>
              <w:t>刘梅红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李建花</w:t>
            </w:r>
            <w:r>
              <w:rPr>
                <w:rFonts w:hint="eastAsia" w:ascii="宋体" w:hAnsi="宋体" w:eastAsia="宋体" w:cs="宋体"/>
                <w:color w:val="FF0000"/>
                <w:sz w:val="21"/>
                <w:szCs w:val="21"/>
                <w:lang w:val="en-US" w:eastAsia="zh-CN"/>
              </w:rPr>
              <w:t xml:space="preserve"> </w:t>
            </w:r>
            <w:r>
              <w:rPr>
                <w:rFonts w:hint="eastAsia" w:ascii="宋体" w:hAnsi="宋体" w:eastAsia="宋体" w:cs="宋体"/>
                <w:sz w:val="21"/>
                <w:szCs w:val="21"/>
              </w:rPr>
              <w:t xml:space="preserve">(B) </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销售部，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cs="宋体"/>
                <w:sz w:val="21"/>
                <w:szCs w:val="21"/>
                <w:lang w:val="en-US" w:eastAsia="zh-CN"/>
              </w:rPr>
              <w:t>20.4.15</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何清鑫</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内审实施情况、相关方投诉情况、管理目标完成情况、管理体系的适宜性、有效性、充分性做出了评价。评审结论：公司的管理体系是适宜的、充分的和有效的，达到了顾客满意和持续改进的目的。</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项改进措施: </w:t>
            </w:r>
            <w:r>
              <w:rPr>
                <w:rFonts w:hint="eastAsia" w:ascii="宋体" w:hAnsi="宋体" w:eastAsia="宋体" w:cs="宋体"/>
                <w:color w:val="auto"/>
                <w:sz w:val="21"/>
                <w:szCs w:val="21"/>
                <w:lang w:val="en-US" w:eastAsia="zh-CN"/>
              </w:rPr>
              <w:t>1、对员工的环境安全意识进行教育和培训，使其在工作中能够做到自觉执行工作规范、爱护现场环境、重视安全防护。</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2、加大对环境/职业健康安全方面资金投入。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rFonts w:hint="eastAsia"/>
                <w:b/>
                <w:color w:val="000000"/>
                <w:sz w:val="26"/>
                <w:szCs w:val="26"/>
              </w:rPr>
              <w:drawing>
                <wp:anchor distT="0" distB="0" distL="114300" distR="114300" simplePos="0" relativeHeight="2048" behindDoc="0" locked="0" layoutInCell="1" allowOverlap="1">
                  <wp:simplePos x="0" y="0"/>
                  <wp:positionH relativeFrom="column">
                    <wp:posOffset>-88900</wp:posOffset>
                  </wp:positionH>
                  <wp:positionV relativeFrom="paragraph">
                    <wp:posOffset>-70485</wp:posOffset>
                  </wp:positionV>
                  <wp:extent cx="6504305" cy="8554085"/>
                  <wp:effectExtent l="0" t="0" r="10795" b="5715"/>
                  <wp:wrapNone/>
                  <wp:docPr id="3" name="图片 3" descr="新文档 2020-07-31 10.11.00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7-31 10.11.00_23"/>
                          <pic:cNvPicPr>
                            <a:picLocks noChangeAspect="1"/>
                          </pic:cNvPicPr>
                        </pic:nvPicPr>
                        <pic:blipFill>
                          <a:blip r:embed="rId6"/>
                          <a:stretch>
                            <a:fillRect/>
                          </a:stretch>
                        </pic:blipFill>
                        <pic:spPr>
                          <a:xfrm>
                            <a:off x="0" y="0"/>
                            <a:ext cx="6504305" cy="8554085"/>
                          </a:xfrm>
                          <a:prstGeom prst="rect">
                            <a:avLst/>
                          </a:prstGeom>
                        </pic:spPr>
                      </pic:pic>
                    </a:graphicData>
                  </a:graphic>
                </wp:anchor>
              </w:drawing>
            </w: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10"/>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bookmarkStart w:id="17" w:name="_GoBack"/>
      <w:r>
        <w:rPr>
          <w:rFonts w:hint="eastAsia"/>
          <w:b/>
          <w:bCs/>
          <w:color w:val="000000"/>
          <w:szCs w:val="21"/>
        </w:rPr>
        <w:drawing>
          <wp:anchor distT="0" distB="0" distL="114300" distR="114300" simplePos="0" relativeHeight="3072" behindDoc="0" locked="0" layoutInCell="1" allowOverlap="1">
            <wp:simplePos x="0" y="0"/>
            <wp:positionH relativeFrom="column">
              <wp:posOffset>-539115</wp:posOffset>
            </wp:positionH>
            <wp:positionV relativeFrom="paragraph">
              <wp:posOffset>-22860</wp:posOffset>
            </wp:positionV>
            <wp:extent cx="5989955" cy="8458835"/>
            <wp:effectExtent l="0" t="0" r="4445" b="12065"/>
            <wp:wrapNone/>
            <wp:docPr id="4" name="图片 4" descr="新文档 2020-07-31 10.11.00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07-31 10.11.00_24"/>
                    <pic:cNvPicPr>
                      <a:picLocks noChangeAspect="1"/>
                    </pic:cNvPicPr>
                  </pic:nvPicPr>
                  <pic:blipFill>
                    <a:blip r:embed="rId7"/>
                    <a:stretch>
                      <a:fillRect/>
                    </a:stretch>
                  </pic:blipFill>
                  <pic:spPr>
                    <a:xfrm>
                      <a:off x="0" y="0"/>
                      <a:ext cx="5989955" cy="8458835"/>
                    </a:xfrm>
                    <a:prstGeom prst="rect">
                      <a:avLst/>
                    </a:prstGeom>
                  </pic:spPr>
                </pic:pic>
              </a:graphicData>
            </a:graphic>
          </wp:anchor>
        </w:drawing>
      </w:r>
      <w:bookmarkEnd w:id="17"/>
      <w:r>
        <w:rPr>
          <w:rFonts w:hint="eastAsia"/>
          <w:b/>
          <w:bCs/>
          <w:color w:val="000000"/>
          <w:szCs w:val="21"/>
        </w:rPr>
        <w:t>审核中发现的</w:t>
      </w:r>
      <w:r>
        <w:rPr>
          <w:rFonts w:hint="eastAsia"/>
          <w:b/>
          <w:color w:val="000000"/>
          <w:szCs w:val="21"/>
        </w:rPr>
        <w:sym w:font="Wingdings 2" w:char="0052"/>
      </w:r>
      <w:r>
        <w:rPr>
          <w:b/>
          <w:color w:val="000000"/>
          <w:szCs w:val="21"/>
        </w:rPr>
        <w:t xml:space="preserve">EMS( </w:t>
      </w:r>
      <w:r>
        <w:rPr>
          <w:rFonts w:hint="eastAsia"/>
          <w:b/>
          <w:color w:val="000000"/>
          <w:szCs w:val="21"/>
          <w:lang w:val="en-US" w:eastAsia="zh-CN"/>
        </w:rPr>
        <w:t>1</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5"/>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5"/>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16"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16"/>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92D8A"/>
    <w:multiLevelType w:val="singleLevel"/>
    <w:tmpl w:val="FDA92D8A"/>
    <w:lvl w:ilvl="0" w:tentative="0">
      <w:start w:val="1"/>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BD0821"/>
    <w:rsid w:val="54FF601F"/>
    <w:rsid w:val="552A2BF0"/>
    <w:rsid w:val="67E53326"/>
    <w:rsid w:val="6EF93C5B"/>
    <w:rsid w:val="6FD712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ody Text Indent 2"/>
    <w:basedOn w:val="1"/>
    <w:qFormat/>
    <w:uiPriority w:val="0"/>
    <w:pPr>
      <w:spacing w:line="380" w:lineRule="exact"/>
      <w:ind w:firstLine="560" w:firstLineChars="200"/>
    </w:pPr>
    <w:rPr>
      <w:color w:val="FF0000"/>
      <w:sz w:val="28"/>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2020-08-01T09:01:04Z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