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-43815</wp:posOffset>
            </wp:positionV>
            <wp:extent cx="6567170" cy="8306435"/>
            <wp:effectExtent l="0" t="0" r="11430" b="12065"/>
            <wp:wrapNone/>
            <wp:docPr id="2" name="图片 2" descr="新文档 2020-07-31 10.11.0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31 10.11.0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830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福州天泽电气有限公司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刘梅红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18050195788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林建敏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E：电缆附件的销售所涉及的相关环境管理活动</w:t>
            </w:r>
          </w:p>
          <w:p>
            <w:r>
              <w:t>O：电缆附件的销售所涉及的相关职业健康安全管理活动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</w:rPr>
              <w:t>2020.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中餐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环境因素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视频巡查现场，特种设备查看，识别二阶段审核的资源配置情况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3718CD"/>
    <w:rsid w:val="32FD0DA5"/>
    <w:rsid w:val="39E8707A"/>
    <w:rsid w:val="61187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2020-08-01T08:44:58Z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