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30645-2023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广东新宏泽包装股份有限公司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43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