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73E57">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20730-2024-QE</w:t>
      </w:r>
      <w:bookmarkEnd w:id="0"/>
    </w:p>
    <w:p w14:paraId="071B5413">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55752C1B">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4FAB5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37F4D32A">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225F40EA">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海南济民博鳌国际医院有限公司</w:t>
            </w:r>
            <w:bookmarkEnd w:id="1"/>
          </w:p>
        </w:tc>
        <w:tc>
          <w:tcPr>
            <w:tcW w:w="1276" w:type="dxa"/>
            <w:gridSpan w:val="2"/>
            <w:vAlign w:val="center"/>
          </w:tcPr>
          <w:p w14:paraId="1DF11E98">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145A4BBD">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李俐</w:t>
            </w:r>
            <w:bookmarkEnd w:id="2"/>
          </w:p>
        </w:tc>
      </w:tr>
      <w:tr w14:paraId="1E07D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12B33040">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3E472D3E">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91469002MA5RC93U5G</w:t>
            </w:r>
            <w:bookmarkEnd w:id="3"/>
          </w:p>
        </w:tc>
        <w:tc>
          <w:tcPr>
            <w:tcW w:w="1276" w:type="dxa"/>
            <w:gridSpan w:val="2"/>
            <w:vAlign w:val="center"/>
          </w:tcPr>
          <w:p w14:paraId="74244CB0">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01037692">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Q:未认可,E:未认可,O:未认可</w:t>
            </w:r>
            <w:bookmarkEnd w:id="4"/>
          </w:p>
        </w:tc>
      </w:tr>
      <w:tr w14:paraId="77BB5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D9C44B8">
            <w:pPr>
              <w:snapToGrid w:val="0"/>
              <w:spacing w:line="276" w:lineRule="auto"/>
              <w:jc w:val="center"/>
              <w:rPr>
                <w:bCs/>
                <w:sz w:val="21"/>
                <w:szCs w:val="21"/>
              </w:rPr>
            </w:pPr>
            <w:r>
              <w:rPr>
                <w:rFonts w:hint="eastAsia"/>
                <w:bCs/>
                <w:sz w:val="21"/>
                <w:szCs w:val="21"/>
              </w:rPr>
              <w:t>认证标准</w:t>
            </w:r>
          </w:p>
        </w:tc>
        <w:tc>
          <w:tcPr>
            <w:tcW w:w="8386" w:type="dxa"/>
            <w:gridSpan w:val="9"/>
          </w:tcPr>
          <w:p w14:paraId="0DF5F2B6">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6CB5A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D25066E">
            <w:pPr>
              <w:snapToGrid w:val="0"/>
              <w:spacing w:line="276" w:lineRule="auto"/>
              <w:jc w:val="center"/>
              <w:rPr>
                <w:bCs/>
                <w:sz w:val="21"/>
                <w:szCs w:val="21"/>
              </w:rPr>
            </w:pPr>
            <w:r>
              <w:rPr>
                <w:rFonts w:hint="eastAsia"/>
                <w:bCs/>
                <w:sz w:val="21"/>
                <w:szCs w:val="21"/>
              </w:rPr>
              <w:t>审核类型</w:t>
            </w:r>
          </w:p>
        </w:tc>
        <w:tc>
          <w:tcPr>
            <w:tcW w:w="8386" w:type="dxa"/>
            <w:gridSpan w:val="9"/>
          </w:tcPr>
          <w:p w14:paraId="3802D474">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5B899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0EBA607">
            <w:pPr>
              <w:snapToGrid w:val="0"/>
              <w:spacing w:line="276" w:lineRule="auto"/>
              <w:jc w:val="center"/>
              <w:rPr>
                <w:bCs/>
                <w:sz w:val="21"/>
                <w:szCs w:val="21"/>
              </w:rPr>
            </w:pPr>
            <w:r>
              <w:rPr>
                <w:rFonts w:hint="eastAsia"/>
                <w:bCs/>
                <w:sz w:val="21"/>
                <w:szCs w:val="21"/>
              </w:rPr>
              <w:t>变更内容</w:t>
            </w:r>
          </w:p>
        </w:tc>
        <w:tc>
          <w:tcPr>
            <w:tcW w:w="8386" w:type="dxa"/>
            <w:gridSpan w:val="9"/>
          </w:tcPr>
          <w:p w14:paraId="59075610">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4F8A8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46E4381D">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6A095AEB">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4CE3CA26">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093F77C3">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1DCD7846">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27D13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295C3FB3">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0FCE8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182A0AA8">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7A48D4FC">
            <w:pPr>
              <w:snapToGrid w:val="0"/>
              <w:spacing w:line="0" w:lineRule="atLeast"/>
              <w:jc w:val="left"/>
              <w:rPr>
                <w:bCs/>
                <w:sz w:val="21"/>
                <w:szCs w:val="21"/>
                <w:lang w:val="en-GB"/>
              </w:rPr>
            </w:pPr>
            <w:bookmarkStart w:id="10" w:name="组织名称Add1"/>
            <w:r>
              <w:rPr>
                <w:rFonts w:hint="eastAsia"/>
                <w:bCs/>
                <w:sz w:val="21"/>
                <w:szCs w:val="21"/>
              </w:rPr>
              <w:t>海南济民博鳌国际医院有限公司</w:t>
            </w:r>
            <w:bookmarkEnd w:id="10"/>
          </w:p>
          <w:p w14:paraId="1A4AFE90">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1684D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338885A0">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18E616A">
            <w:pPr>
              <w:snapToGrid w:val="0"/>
              <w:spacing w:line="0" w:lineRule="atLeast"/>
              <w:jc w:val="left"/>
              <w:rPr>
                <w:sz w:val="21"/>
                <w:szCs w:val="21"/>
              </w:rPr>
            </w:pPr>
            <w:bookmarkStart w:id="11" w:name="注册地址"/>
            <w:r>
              <w:rPr>
                <w:rFonts w:hint="eastAsia"/>
                <w:sz w:val="21"/>
                <w:szCs w:val="21"/>
              </w:rPr>
              <w:t>海南省琼海市博鳌乐城国际医疗旅游先行区康祥路11号</w:t>
            </w:r>
            <w:bookmarkEnd w:id="11"/>
          </w:p>
          <w:p w14:paraId="35A2C539">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77C1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8C3DC96">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6B497A5C">
            <w:pPr>
              <w:snapToGrid w:val="0"/>
              <w:spacing w:line="0" w:lineRule="atLeast"/>
              <w:jc w:val="left"/>
              <w:rPr>
                <w:sz w:val="21"/>
                <w:szCs w:val="21"/>
              </w:rPr>
            </w:pPr>
            <w:bookmarkStart w:id="12" w:name="生产地址"/>
            <w:r>
              <w:rPr>
                <w:rFonts w:hint="eastAsia"/>
                <w:sz w:val="21"/>
                <w:szCs w:val="21"/>
              </w:rPr>
              <w:t>海南省琼海市博鳌乐城国际医疗旅游先行区康祥路11号</w:t>
            </w:r>
            <w:bookmarkEnd w:id="12"/>
            <w:r>
              <w:rPr>
                <w:rFonts w:hint="eastAsia" w:cs="Arial"/>
                <w:bCs/>
                <w:sz w:val="21"/>
                <w:szCs w:val="21"/>
              </w:rPr>
              <w:t>Production and operation address：</w:t>
            </w:r>
          </w:p>
        </w:tc>
      </w:tr>
      <w:tr w14:paraId="1A3C1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528471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0DE862B9">
            <w:pPr>
              <w:tabs>
                <w:tab w:val="left" w:pos="0"/>
              </w:tabs>
              <w:jc w:val="left"/>
              <w:rPr>
                <w:sz w:val="21"/>
                <w:szCs w:val="21"/>
              </w:rPr>
            </w:pPr>
            <w:bookmarkStart w:id="13" w:name="审核范围"/>
            <w:r>
              <w:rPr>
                <w:sz w:val="21"/>
                <w:szCs w:val="21"/>
              </w:rPr>
              <w:t>Q</w:t>
            </w:r>
            <w:r>
              <w:rPr>
                <w:rFonts w:hint="eastAsia"/>
                <w:sz w:val="21"/>
                <w:szCs w:val="21"/>
                <w:lang w:eastAsia="zh-CN"/>
              </w:rPr>
              <w:t>：</w:t>
            </w:r>
            <w:r>
              <w:rPr>
                <w:sz w:val="21"/>
                <w:szCs w:val="21"/>
              </w:rPr>
              <w:t>内科、外科、妇科、妇女保健科、医学检验科、肿瘤科、医疗美容科、医学影像科、中医科(门诊)、皮肤科、健康体检科(含口腔科门诊体检、耳鼻喉科门诊体检)、血液净化科、干细胞和免疫细胞的研发和制备的医疗服务</w:t>
            </w:r>
          </w:p>
          <w:p w14:paraId="660D0EE0">
            <w:pPr>
              <w:tabs>
                <w:tab w:val="left" w:pos="0"/>
              </w:tabs>
              <w:jc w:val="left"/>
              <w:rPr>
                <w:sz w:val="21"/>
                <w:szCs w:val="21"/>
              </w:rPr>
            </w:pPr>
            <w:r>
              <w:rPr>
                <w:sz w:val="21"/>
                <w:szCs w:val="21"/>
              </w:rPr>
              <w:t>E：内科、外科、妇科、妇女保健科、医学检验科、肿瘤科、医疗美容科、医学影像科、中医科(门诊)、皮肤科、健康体检科(含口腔科门诊体检、耳鼻喉科门诊体检)、血液净化科、干细胞和免疫细胞的研发和制备的医疗服务所涉及场所的相关环境管理活动</w:t>
            </w:r>
          </w:p>
          <w:p w14:paraId="258C917C">
            <w:pPr>
              <w:snapToGrid w:val="0"/>
              <w:spacing w:line="0" w:lineRule="atLeast"/>
              <w:jc w:val="left"/>
              <w:rPr>
                <w:sz w:val="21"/>
                <w:szCs w:val="21"/>
                <w:lang w:val="en-GB"/>
              </w:rPr>
            </w:pPr>
            <w:r>
              <w:rPr>
                <w:sz w:val="21"/>
                <w:szCs w:val="21"/>
                <w:lang w:val="en-GB"/>
              </w:rPr>
              <w:t>O：内科、外科、妇科、妇女保健科、医学检验科、肿瘤科、医疗美容科、医学影像科、中医科(门诊)、皮肤科、健康体检科(含口腔科门诊体检、耳鼻喉科门诊体检)、血液净化科、干细胞和免疫细胞的研发和制备的医疗服务所涉及场所的相关职业健康安全管理活动。</w:t>
            </w:r>
            <w:bookmarkEnd w:id="13"/>
          </w:p>
          <w:p w14:paraId="388B7CC7">
            <w:pPr>
              <w:snapToGrid w:val="0"/>
              <w:spacing w:line="0" w:lineRule="atLeast"/>
              <w:jc w:val="left"/>
              <w:rPr>
                <w:sz w:val="21"/>
                <w:szCs w:val="21"/>
                <w:lang w:val="en-GB"/>
              </w:rPr>
            </w:pPr>
            <w:r>
              <w:rPr>
                <w:rFonts w:hint="eastAsia"/>
                <w:bCs/>
                <w:sz w:val="21"/>
                <w:szCs w:val="21"/>
                <w:lang w:val="en-GB"/>
              </w:rPr>
              <w:t>English Scope：</w:t>
            </w:r>
          </w:p>
        </w:tc>
      </w:tr>
      <w:tr w14:paraId="63201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1F1847A5">
            <w:pPr>
              <w:snapToGrid w:val="0"/>
              <w:spacing w:line="0" w:lineRule="atLeast"/>
              <w:rPr>
                <w:bCs/>
                <w:sz w:val="21"/>
                <w:szCs w:val="21"/>
              </w:rPr>
            </w:pPr>
            <w:r>
              <w:rPr>
                <w:rFonts w:hint="eastAsia"/>
                <w:bCs/>
                <w:sz w:val="21"/>
                <w:szCs w:val="21"/>
              </w:rPr>
              <w:t>(注：如需英文版证书，请翻译好填写在在对应项目下方）</w:t>
            </w:r>
          </w:p>
        </w:tc>
      </w:tr>
      <w:tr w14:paraId="089D7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7624B2F7">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B13A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7E931432">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6F386DB9">
            <w:pPr>
              <w:snapToGrid w:val="0"/>
              <w:spacing w:line="0" w:lineRule="atLeast"/>
              <w:jc w:val="left"/>
              <w:rPr>
                <w:bCs/>
                <w:sz w:val="21"/>
                <w:szCs w:val="21"/>
                <w:lang w:val="en-GB"/>
              </w:rPr>
            </w:pPr>
            <w:bookmarkStart w:id="14" w:name="组织名称Add2"/>
            <w:r>
              <w:rPr>
                <w:rFonts w:hint="eastAsia"/>
                <w:bCs/>
                <w:sz w:val="21"/>
                <w:szCs w:val="21"/>
              </w:rPr>
              <w:t>海南济民博鳌国际医院有限公司</w:t>
            </w:r>
            <w:bookmarkEnd w:id="14"/>
            <w:r>
              <w:rPr>
                <w:rFonts w:cs="Arial"/>
                <w:bCs/>
                <w:sz w:val="21"/>
                <w:szCs w:val="21"/>
              </w:rPr>
              <w:t>Company Name</w:t>
            </w:r>
            <w:r>
              <w:rPr>
                <w:rFonts w:hint="eastAsia" w:cs="Arial"/>
                <w:bCs/>
                <w:sz w:val="21"/>
                <w:szCs w:val="21"/>
              </w:rPr>
              <w:t>：</w:t>
            </w:r>
          </w:p>
        </w:tc>
      </w:tr>
      <w:tr w14:paraId="22A9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197A3697">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0589F3AF">
            <w:pPr>
              <w:snapToGrid w:val="0"/>
              <w:spacing w:line="0" w:lineRule="atLeast"/>
              <w:jc w:val="left"/>
              <w:rPr>
                <w:rFonts w:cs="Arial"/>
                <w:bCs/>
                <w:sz w:val="21"/>
                <w:szCs w:val="21"/>
              </w:rPr>
            </w:pPr>
            <w:bookmarkStart w:id="15" w:name="注册地址Add1"/>
            <w:r>
              <w:rPr>
                <w:rFonts w:hint="eastAsia"/>
                <w:sz w:val="21"/>
                <w:szCs w:val="21"/>
              </w:rPr>
              <w:t>海南省琼海市博鳌乐城国际医疗旅游先行区康祥路11号</w:t>
            </w:r>
            <w:bookmarkEnd w:id="15"/>
          </w:p>
          <w:p w14:paraId="2F331757">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3C51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A17EFD9">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391B3DC7">
            <w:pPr>
              <w:snapToGrid w:val="0"/>
              <w:spacing w:line="0" w:lineRule="atLeast"/>
              <w:jc w:val="left"/>
              <w:rPr>
                <w:sz w:val="21"/>
                <w:szCs w:val="21"/>
                <w:lang w:val="en-GB"/>
              </w:rPr>
            </w:pPr>
            <w:bookmarkStart w:id="16" w:name="生产地址Add1"/>
            <w:r>
              <w:rPr>
                <w:rFonts w:hint="eastAsia"/>
                <w:sz w:val="21"/>
                <w:szCs w:val="21"/>
              </w:rPr>
              <w:t>海南省琼海市博鳌乐城国际医疗旅游先行区康祥路11号</w:t>
            </w:r>
            <w:bookmarkEnd w:id="16"/>
          </w:p>
          <w:p w14:paraId="3DC7B782">
            <w:pPr>
              <w:snapToGrid w:val="0"/>
              <w:spacing w:line="0" w:lineRule="atLeast"/>
              <w:jc w:val="left"/>
              <w:rPr>
                <w:bCs/>
                <w:sz w:val="21"/>
                <w:szCs w:val="21"/>
              </w:rPr>
            </w:pPr>
            <w:r>
              <w:rPr>
                <w:rFonts w:hint="eastAsia" w:cs="Arial"/>
                <w:bCs/>
                <w:sz w:val="21"/>
                <w:szCs w:val="21"/>
              </w:rPr>
              <w:t>Production and operation address：</w:t>
            </w:r>
          </w:p>
        </w:tc>
      </w:tr>
      <w:tr w14:paraId="424DF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F7D734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27B7232">
            <w:pPr>
              <w:tabs>
                <w:tab w:val="left" w:pos="0"/>
              </w:tabs>
              <w:jc w:val="left"/>
              <w:rPr>
                <w:sz w:val="21"/>
                <w:szCs w:val="21"/>
              </w:rPr>
            </w:pPr>
            <w:bookmarkStart w:id="17" w:name="审核范围Add1"/>
            <w:r>
              <w:rPr>
                <w:sz w:val="21"/>
                <w:szCs w:val="21"/>
              </w:rPr>
              <w:t>Q</w:t>
            </w:r>
            <w:r>
              <w:rPr>
                <w:rFonts w:hint="eastAsia"/>
                <w:sz w:val="21"/>
                <w:szCs w:val="21"/>
                <w:lang w:eastAsia="zh-CN"/>
              </w:rPr>
              <w:t>：</w:t>
            </w:r>
            <w:r>
              <w:rPr>
                <w:sz w:val="21"/>
                <w:szCs w:val="21"/>
              </w:rPr>
              <w:t>内科、外科、妇科、妇女保健科、医学检验科、肿瘤科、医疗美容科、医学影像科、中医科(门诊)、皮肤科、健康体检科(含口腔科门诊体检、耳鼻喉科门诊体检)、血液净化科、干细胞和免疫细胞的研发和制备的医疗服务</w:t>
            </w:r>
          </w:p>
          <w:p w14:paraId="4CB56839">
            <w:pPr>
              <w:tabs>
                <w:tab w:val="left" w:pos="0"/>
              </w:tabs>
              <w:jc w:val="left"/>
              <w:rPr>
                <w:sz w:val="21"/>
                <w:szCs w:val="21"/>
              </w:rPr>
            </w:pPr>
            <w:r>
              <w:rPr>
                <w:sz w:val="21"/>
                <w:szCs w:val="21"/>
              </w:rPr>
              <w:t>E：内科、外科、妇科、妇女保健科、医学检验科、肿瘤科、医疗美容科、医学影像科、中医科(门诊)、皮肤科、健康体检科(含口腔科门诊体检、耳鼻喉科门诊体检)、血液净化科、干细胞和免疫细胞的研发和制备的医疗服务所涉及场所的相关环境管理活动</w:t>
            </w:r>
          </w:p>
          <w:p w14:paraId="311BBE53">
            <w:pPr>
              <w:snapToGrid w:val="0"/>
              <w:spacing w:line="0" w:lineRule="atLeast"/>
              <w:jc w:val="left"/>
              <w:rPr>
                <w:sz w:val="21"/>
                <w:szCs w:val="21"/>
                <w:lang w:val="en-GB"/>
              </w:rPr>
            </w:pPr>
            <w:bookmarkStart w:id="18" w:name="_GoBack"/>
            <w:bookmarkEnd w:id="18"/>
            <w:r>
              <w:rPr>
                <w:sz w:val="21"/>
                <w:szCs w:val="21"/>
                <w:lang w:val="en-GB"/>
              </w:rPr>
              <w:t>O：内科、外科、妇科、妇女保健科、医学检验科、肿瘤科、医疗美容科、医学影像科、中医科(门诊)、皮肤科、健康体检科(含口腔科门诊体检、耳鼻喉科门诊体检)、血液净化科、干细胞和免疫细胞的研发和制备的医疗服务所涉及场所的相关职业健康安全管理活动。</w:t>
            </w:r>
            <w:bookmarkEnd w:id="17"/>
          </w:p>
          <w:p w14:paraId="544CF0CB">
            <w:pPr>
              <w:snapToGrid w:val="0"/>
              <w:spacing w:line="0" w:lineRule="atLeast"/>
              <w:jc w:val="left"/>
              <w:rPr>
                <w:bCs/>
                <w:sz w:val="21"/>
                <w:szCs w:val="21"/>
              </w:rPr>
            </w:pPr>
            <w:r>
              <w:rPr>
                <w:rFonts w:hint="eastAsia"/>
                <w:bCs/>
                <w:sz w:val="21"/>
                <w:szCs w:val="21"/>
                <w:lang w:val="en-GB"/>
              </w:rPr>
              <w:t>English Scope：</w:t>
            </w:r>
          </w:p>
        </w:tc>
      </w:tr>
      <w:tr w14:paraId="208AE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464B1D22">
            <w:pPr>
              <w:snapToGrid w:val="0"/>
              <w:spacing w:line="0" w:lineRule="atLeast"/>
              <w:rPr>
                <w:bCs/>
                <w:sz w:val="21"/>
                <w:szCs w:val="21"/>
              </w:rPr>
            </w:pPr>
            <w:r>
              <w:rPr>
                <w:rFonts w:hint="eastAsia"/>
                <w:bCs/>
                <w:sz w:val="21"/>
                <w:szCs w:val="21"/>
              </w:rPr>
              <w:t>(注：如需英文版证书，请翻译好填写在在对应项目下方）</w:t>
            </w:r>
          </w:p>
        </w:tc>
      </w:tr>
      <w:tr w14:paraId="39D21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0FACFED8">
            <w:pPr>
              <w:snapToGrid w:val="0"/>
              <w:spacing w:line="0" w:lineRule="atLeast"/>
              <w:jc w:val="left"/>
              <w:rPr>
                <w:bCs/>
                <w:sz w:val="21"/>
                <w:szCs w:val="21"/>
              </w:rPr>
            </w:pPr>
            <w:r>
              <w:rPr>
                <w:rFonts w:hint="eastAsia"/>
                <w:bCs/>
                <w:sz w:val="21"/>
                <w:szCs w:val="21"/>
              </w:rPr>
              <w:t>证书规格：A4</w:t>
            </w:r>
          </w:p>
        </w:tc>
        <w:tc>
          <w:tcPr>
            <w:tcW w:w="8294" w:type="dxa"/>
            <w:gridSpan w:val="8"/>
          </w:tcPr>
          <w:p w14:paraId="148B2E22">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7C1F5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205118D4">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1A179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671AD11">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E5EF30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66794274">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4C7E7021">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539C34BD">
            <w:pPr>
              <w:snapToGrid w:val="0"/>
              <w:spacing w:line="0" w:lineRule="atLeast"/>
              <w:jc w:val="center"/>
              <w:rPr>
                <w:bCs/>
                <w:sz w:val="21"/>
                <w:szCs w:val="21"/>
                <w:lang w:val="en-GB"/>
              </w:rPr>
            </w:pPr>
            <w:r>
              <w:rPr>
                <w:rFonts w:hint="eastAsia"/>
                <w:bCs/>
                <w:sz w:val="21"/>
                <w:szCs w:val="21"/>
                <w:lang w:val="en-GB"/>
              </w:rPr>
              <w:t>产值（万元）</w:t>
            </w:r>
          </w:p>
        </w:tc>
      </w:tr>
      <w:tr w14:paraId="03969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E41BA66">
            <w:pPr>
              <w:snapToGrid w:val="0"/>
              <w:spacing w:line="0" w:lineRule="atLeast"/>
              <w:jc w:val="left"/>
              <w:rPr>
                <w:bCs/>
                <w:sz w:val="21"/>
                <w:szCs w:val="21"/>
                <w:lang w:val="en-GB"/>
              </w:rPr>
            </w:pPr>
          </w:p>
        </w:tc>
        <w:tc>
          <w:tcPr>
            <w:tcW w:w="2835" w:type="dxa"/>
            <w:gridSpan w:val="2"/>
          </w:tcPr>
          <w:p w14:paraId="4F74D695">
            <w:pPr>
              <w:snapToGrid w:val="0"/>
              <w:spacing w:line="0" w:lineRule="atLeast"/>
              <w:jc w:val="left"/>
              <w:rPr>
                <w:bCs/>
                <w:sz w:val="21"/>
                <w:szCs w:val="21"/>
                <w:lang w:val="en-GB"/>
              </w:rPr>
            </w:pPr>
          </w:p>
        </w:tc>
        <w:tc>
          <w:tcPr>
            <w:tcW w:w="1985" w:type="dxa"/>
            <w:gridSpan w:val="2"/>
          </w:tcPr>
          <w:p w14:paraId="071D19E3">
            <w:pPr>
              <w:snapToGrid w:val="0"/>
              <w:spacing w:line="0" w:lineRule="atLeast"/>
              <w:jc w:val="left"/>
              <w:rPr>
                <w:bCs/>
                <w:sz w:val="21"/>
                <w:szCs w:val="21"/>
                <w:lang w:val="en-GB"/>
              </w:rPr>
            </w:pPr>
          </w:p>
        </w:tc>
        <w:tc>
          <w:tcPr>
            <w:tcW w:w="1276" w:type="dxa"/>
            <w:gridSpan w:val="2"/>
          </w:tcPr>
          <w:p w14:paraId="352BF186">
            <w:pPr>
              <w:snapToGrid w:val="0"/>
              <w:spacing w:line="0" w:lineRule="atLeast"/>
              <w:jc w:val="left"/>
              <w:rPr>
                <w:bCs/>
                <w:sz w:val="21"/>
                <w:szCs w:val="21"/>
                <w:lang w:val="en-GB"/>
              </w:rPr>
            </w:pPr>
          </w:p>
        </w:tc>
        <w:tc>
          <w:tcPr>
            <w:tcW w:w="1490" w:type="dxa"/>
          </w:tcPr>
          <w:p w14:paraId="572E3EA2">
            <w:pPr>
              <w:snapToGrid w:val="0"/>
              <w:spacing w:line="0" w:lineRule="atLeast"/>
              <w:jc w:val="left"/>
              <w:rPr>
                <w:bCs/>
                <w:sz w:val="21"/>
                <w:szCs w:val="21"/>
                <w:lang w:val="en-GB"/>
              </w:rPr>
            </w:pPr>
          </w:p>
        </w:tc>
      </w:tr>
      <w:tr w14:paraId="750C2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1FD1FAC1">
            <w:pPr>
              <w:snapToGrid w:val="0"/>
              <w:spacing w:line="0" w:lineRule="atLeast"/>
              <w:jc w:val="left"/>
              <w:rPr>
                <w:bCs/>
                <w:sz w:val="21"/>
                <w:szCs w:val="21"/>
                <w:lang w:val="en-GB"/>
              </w:rPr>
            </w:pPr>
          </w:p>
        </w:tc>
        <w:tc>
          <w:tcPr>
            <w:tcW w:w="2835" w:type="dxa"/>
            <w:gridSpan w:val="2"/>
          </w:tcPr>
          <w:p w14:paraId="1012F2DF">
            <w:pPr>
              <w:snapToGrid w:val="0"/>
              <w:spacing w:line="0" w:lineRule="atLeast"/>
              <w:jc w:val="left"/>
              <w:rPr>
                <w:bCs/>
                <w:sz w:val="21"/>
                <w:szCs w:val="21"/>
                <w:lang w:val="en-GB"/>
              </w:rPr>
            </w:pPr>
          </w:p>
        </w:tc>
        <w:tc>
          <w:tcPr>
            <w:tcW w:w="1985" w:type="dxa"/>
            <w:gridSpan w:val="2"/>
          </w:tcPr>
          <w:p w14:paraId="3FA73D9D">
            <w:pPr>
              <w:snapToGrid w:val="0"/>
              <w:spacing w:line="0" w:lineRule="atLeast"/>
              <w:jc w:val="left"/>
              <w:rPr>
                <w:bCs/>
                <w:sz w:val="21"/>
                <w:szCs w:val="21"/>
                <w:lang w:val="en-GB"/>
              </w:rPr>
            </w:pPr>
          </w:p>
        </w:tc>
        <w:tc>
          <w:tcPr>
            <w:tcW w:w="1276" w:type="dxa"/>
            <w:gridSpan w:val="2"/>
          </w:tcPr>
          <w:p w14:paraId="4BA712B2">
            <w:pPr>
              <w:snapToGrid w:val="0"/>
              <w:spacing w:line="0" w:lineRule="atLeast"/>
              <w:jc w:val="left"/>
              <w:rPr>
                <w:bCs/>
                <w:sz w:val="21"/>
                <w:szCs w:val="21"/>
                <w:lang w:val="en-GB"/>
              </w:rPr>
            </w:pPr>
          </w:p>
        </w:tc>
        <w:tc>
          <w:tcPr>
            <w:tcW w:w="1490" w:type="dxa"/>
          </w:tcPr>
          <w:p w14:paraId="603BB9E4">
            <w:pPr>
              <w:snapToGrid w:val="0"/>
              <w:spacing w:line="0" w:lineRule="atLeast"/>
              <w:jc w:val="left"/>
              <w:rPr>
                <w:bCs/>
                <w:sz w:val="21"/>
                <w:szCs w:val="21"/>
                <w:lang w:val="en-GB"/>
              </w:rPr>
            </w:pPr>
          </w:p>
        </w:tc>
      </w:tr>
      <w:tr w14:paraId="7BD0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136CBEC9">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5AF60619">
            <w:pPr>
              <w:snapToGrid w:val="0"/>
              <w:spacing w:line="0" w:lineRule="atLeast"/>
              <w:ind w:firstLine="840" w:firstLineChars="400"/>
              <w:jc w:val="left"/>
              <w:rPr>
                <w:rFonts w:cs="Arial"/>
                <w:bCs/>
                <w:sz w:val="21"/>
                <w:szCs w:val="21"/>
              </w:rPr>
            </w:pPr>
          </w:p>
          <w:p w14:paraId="20002B92">
            <w:pPr>
              <w:snapToGrid w:val="0"/>
              <w:spacing w:line="0" w:lineRule="atLeast"/>
              <w:ind w:firstLine="840" w:firstLineChars="400"/>
              <w:jc w:val="left"/>
              <w:rPr>
                <w:rFonts w:cs="Arial"/>
                <w:bCs/>
                <w:sz w:val="21"/>
                <w:szCs w:val="21"/>
              </w:rPr>
            </w:pPr>
          </w:p>
          <w:p w14:paraId="35A4A237">
            <w:pPr>
              <w:snapToGrid w:val="0"/>
              <w:spacing w:line="0" w:lineRule="atLeast"/>
              <w:ind w:firstLine="840" w:firstLineChars="400"/>
              <w:jc w:val="left"/>
              <w:rPr>
                <w:rFonts w:cs="Arial"/>
                <w:bCs/>
                <w:sz w:val="21"/>
                <w:szCs w:val="21"/>
              </w:rPr>
            </w:pPr>
          </w:p>
          <w:p w14:paraId="4AF3D410">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5C6E17DA">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5A468367">
            <w:pPr>
              <w:snapToGrid w:val="0"/>
              <w:spacing w:line="0" w:lineRule="atLeast"/>
              <w:ind w:firstLine="630" w:firstLineChars="300"/>
              <w:jc w:val="left"/>
              <w:rPr>
                <w:rFonts w:cs="Arial"/>
                <w:bCs/>
                <w:sz w:val="21"/>
                <w:szCs w:val="21"/>
              </w:rPr>
            </w:pPr>
          </w:p>
          <w:p w14:paraId="6D3F737D">
            <w:pPr>
              <w:snapToGrid w:val="0"/>
              <w:spacing w:line="0" w:lineRule="atLeast"/>
              <w:ind w:firstLine="630" w:firstLineChars="300"/>
              <w:jc w:val="left"/>
              <w:rPr>
                <w:rFonts w:cs="Arial"/>
                <w:bCs/>
                <w:sz w:val="21"/>
                <w:szCs w:val="21"/>
              </w:rPr>
            </w:pPr>
          </w:p>
          <w:p w14:paraId="22EF7DB1">
            <w:pPr>
              <w:snapToGrid w:val="0"/>
              <w:spacing w:line="0" w:lineRule="atLeast"/>
              <w:ind w:firstLine="630" w:firstLineChars="300"/>
              <w:jc w:val="left"/>
              <w:rPr>
                <w:rFonts w:cs="Arial"/>
                <w:bCs/>
                <w:sz w:val="21"/>
                <w:szCs w:val="21"/>
              </w:rPr>
            </w:pPr>
          </w:p>
          <w:p w14:paraId="4578B9E0">
            <w:pPr>
              <w:snapToGrid w:val="0"/>
              <w:spacing w:line="0" w:lineRule="atLeast"/>
              <w:ind w:firstLine="630" w:firstLineChars="300"/>
              <w:jc w:val="left"/>
              <w:rPr>
                <w:bCs/>
                <w:sz w:val="21"/>
                <w:szCs w:val="21"/>
              </w:rPr>
            </w:pPr>
            <w:r>
              <w:rPr>
                <w:rFonts w:hint="eastAsia" w:cs="Arial"/>
                <w:bCs/>
                <w:sz w:val="21"/>
                <w:szCs w:val="21"/>
              </w:rPr>
              <w:t>日期：年月日</w:t>
            </w:r>
          </w:p>
        </w:tc>
      </w:tr>
    </w:tbl>
    <w:p w14:paraId="34146504">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3AEB">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17B6D47C">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7CFE6C8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1DCABE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722D6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1745</Words>
  <Characters>2009</Characters>
  <Lines>8</Lines>
  <Paragraphs>2</Paragraphs>
  <TotalTime>0</TotalTime>
  <ScaleCrop>false</ScaleCrop>
  <LinksUpToDate>false</LinksUpToDate>
  <CharactersWithSpaces>2027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2025-04-22T13:43:27Z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