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45"/>
        <w:gridCol w:w="1008"/>
        <w:gridCol w:w="6"/>
        <w:gridCol w:w="567"/>
        <w:gridCol w:w="1169"/>
        <w:gridCol w:w="73"/>
        <w:gridCol w:w="75"/>
        <w:gridCol w:w="101"/>
        <w:gridCol w:w="589"/>
        <w:gridCol w:w="86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北京捷睿罗科技有限公司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北京市北京经济技术开发区经海二路29号院5号楼1层108-110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陈建华</w:t>
            </w:r>
          </w:p>
        </w:tc>
        <w:tc>
          <w:tcPr>
            <w:tcW w:w="100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13401171605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38" w:type="dxa"/>
            <w:gridSpan w:val="5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卢永芝</w:t>
            </w:r>
          </w:p>
        </w:tc>
        <w:tc>
          <w:tcPr>
            <w:tcW w:w="100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0276-2020-QEO</w:t>
            </w:r>
            <w:bookmarkEnd w:id="3"/>
          </w:p>
        </w:tc>
        <w:tc>
          <w:tcPr>
            <w:tcW w:w="101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4" w:name="Q勾选"/>
            <w:r>
              <w:rPr>
                <w:rFonts w:hint="eastAsia"/>
                <w:sz w:val="20"/>
              </w:rPr>
              <w:t>■</w:t>
            </w:r>
            <w:bookmarkEnd w:id="4"/>
            <w:r>
              <w:rPr>
                <w:spacing w:val="-2"/>
                <w:sz w:val="20"/>
              </w:rPr>
              <w:t>QMS</w:t>
            </w:r>
            <w:bookmarkStart w:id="5" w:name="E勾选"/>
            <w:r>
              <w:rPr>
                <w:rFonts w:hint="eastAsia"/>
                <w:sz w:val="20"/>
              </w:rPr>
              <w:t>■</w:t>
            </w:r>
            <w:bookmarkEnd w:id="5"/>
            <w:r>
              <w:rPr>
                <w:spacing w:val="-2"/>
                <w:sz w:val="20"/>
              </w:rPr>
              <w:t>EMS</w:t>
            </w:r>
            <w:bookmarkStart w:id="6" w:name="S勾选"/>
            <w:r>
              <w:rPr>
                <w:rFonts w:hint="eastAsia"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▉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Q：五金交电、机械设备、电器设备的进出口及销售，航空专业技术咨询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E：五金交电、机械设备、电器设备的进出口及销售，航空专业技术咨询及相关环境管理活动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O：五金交电、机械设备、电器设备的进出口及销售，航空专业技术咨询及相关职业健康安全管理活动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Q：29.12.00;34.06.00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现场审核于2020年08月02日 下午至2020年08月04日 下午 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O:29.12.00,34.06.00</w:t>
            </w:r>
          </w:p>
        </w:tc>
        <w:tc>
          <w:tcPr>
            <w:tcW w:w="17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E:29.12.00,34.06.00</w:t>
            </w:r>
          </w:p>
        </w:tc>
        <w:tc>
          <w:tcPr>
            <w:tcW w:w="17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5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0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2020.8.1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2020.8.2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13：30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全体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（含员工代表）</w:t>
            </w:r>
          </w:p>
          <w:p>
            <w:pPr>
              <w:snapToGrid w:val="0"/>
              <w:spacing w:line="320" w:lineRule="exact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:4.1/4.2/4.3/4.4/5.1/5.2/5.3/6.1.1/6.1.4/6.2/7.1/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9.3/10.1/10.3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S: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5.4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color w:val="auto"/>
                <w:sz w:val="18"/>
              </w:rPr>
            </w:pPr>
          </w:p>
          <w:p>
            <w:pPr>
              <w:rPr>
                <w:rFonts w:hint="eastAsia" w:ascii="宋体" w:hAnsi="宋体"/>
                <w:color w:val="auto"/>
                <w:sz w:val="18"/>
              </w:rPr>
            </w:pPr>
          </w:p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color w:val="auto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pStyle w:val="2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</w:rPr>
            </w:pPr>
          </w:p>
          <w:p>
            <w:pPr>
              <w:rPr>
                <w:rFonts w:hint="eastAsia" w:ascii="宋体" w:hAnsi="宋体"/>
                <w:color w:val="auto"/>
                <w:sz w:val="18"/>
              </w:rPr>
            </w:pPr>
          </w:p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2020.8.3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Merge w:val="restart"/>
            <w:vAlign w:val="top"/>
          </w:tcPr>
          <w:p>
            <w:pPr>
              <w:rPr>
                <w:rFonts w:hint="eastAsia" w:ascii="宋体" w:hAnsi="宋体"/>
                <w:b/>
                <w:bCs/>
                <w:color w:val="auto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22"/>
                <w:lang w:val="en-US" w:eastAsia="zh-CN"/>
              </w:rPr>
              <w:t>含财务）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lang w:val="en-US" w:eastAsia="zh-CN" w:bidi="ar-SA"/>
              </w:rPr>
            </w:pPr>
            <w:bookmarkStart w:id="8" w:name="_GoBack"/>
            <w:bookmarkEnd w:id="8"/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:5.3/6.1.2/6.1.1/6.1.3/6.2/7.2/7.3/7.4/7.5/8.1/8.2/9.2/10.1/10.2/6.1.3/9.1.1/9.1.2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</w:rPr>
            </w:pPr>
          </w:p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color w:val="auto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Q:5.3/6.1/6.2/7.1.2/7.2/7.3/7.4/7.5/9.1.3/9.2/10.2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</w:rPr>
            </w:pPr>
          </w:p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2020.8.4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8:30-16:00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E:5.3/6.2/6.1.2/6.1.3/8.1/8.2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S:5.3/6.2/6.1.2/6.1.3/8.1/8.2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五金交电、机械设备、电器设备的进出口及销售，航空专业技术咨询</w:t>
            </w:r>
          </w:p>
          <w:p>
            <w:pPr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过程及合同管理；顾客满意调查等与本部门有关的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环境和职业健康安全运行控制等；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Q:5.3/6.1.2/6.2/7.1.3/7.1.4/7.1.5/7.1.6/8.1/8.2/8.3/8.4/8.5/8.6/8.7/9.1.2/10.2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五金交电、机械设备、电器设备的进出口及销售，航空专业技术咨询</w:t>
            </w:r>
          </w:p>
          <w:p>
            <w:pPr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过程及合同管理；顾客满意调查等与本部门有关的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环境和职业健康安全运行控制等；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</w:rPr>
            </w:pPr>
          </w:p>
          <w:p>
            <w:pPr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color w:val="auto"/>
                <w:sz w:val="18"/>
              </w:rPr>
            </w:pPr>
          </w:p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全体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960" w:firstLineChars="40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960" w:firstLineChars="4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午休时间：12：00-13：00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0E6312"/>
    <w:rsid w:val="118144EC"/>
    <w:rsid w:val="25340560"/>
    <w:rsid w:val="283A06A6"/>
    <w:rsid w:val="33E12153"/>
    <w:rsid w:val="3D192A99"/>
    <w:rsid w:val="50060138"/>
    <w:rsid w:val="50841D66"/>
    <w:rsid w:val="51E63BD1"/>
    <w:rsid w:val="68B64DF7"/>
    <w:rsid w:val="7A9133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2020-08-04T12:30:44Z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