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重庆市璧山区正兴金属有限公司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9"/>
          <w:rFonts w:hint="eastAsia" w:ascii="楷体" w:hAnsi="楷体" w:eastAsia="楷体"/>
          <w:b/>
          <w:sz w:val="36"/>
          <w:szCs w:val="36"/>
        </w:rPr>
        <w:t>www.china-isc.org.cn</w:t>
      </w:r>
      <w:r>
        <w:fldChar w:fldCharType="end"/>
      </w:r>
    </w:p>
    <w:p>
      <w:pPr>
        <w:pStyle w:val="10"/>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6"/>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李林</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17.10.02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杨庆</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实习审核员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17.10.02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宋明珠</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0"/>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0"/>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hint="eastAsia"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GB/T19001-2016/ISO9001:2015</w:t>
      </w:r>
      <w:bookmarkEnd w:id="4"/>
    </w:p>
    <w:p>
      <w:pPr>
        <w:jc w:val="left"/>
        <w:rPr>
          <w:rFonts w:ascii="宋体" w:hAnsi="宋体"/>
          <w:b/>
          <w:color w:val="000000" w:themeColor="text1"/>
          <w:spacing w:val="-10"/>
          <w:sz w:val="20"/>
          <w:szCs w:val="20"/>
        </w:rPr>
      </w:pPr>
      <w:r>
        <w:rPr>
          <w:rFonts w:hint="eastAsia" w:ascii="宋体" w:hAnsi="宋体"/>
          <w:b/>
          <w:color w:val="000000" w:themeColor="text1"/>
          <w:sz w:val="26"/>
          <w:szCs w:val="26"/>
        </w:rPr>
        <w:t>四、受审核方基本信息</w:t>
      </w:r>
    </w:p>
    <w:tbl>
      <w:tblPr>
        <w:tblStyle w:val="6"/>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重庆市璧山区正兴金属有限公司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10</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重庆市璧山区来凤街道来凤村10组</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402763</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重庆市璧山区来凤街道来凤村10组</w:t>
            </w:r>
            <w:bookmarkEnd w:id="9"/>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402763</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叶太双</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13368312488</w:t>
            </w:r>
            <w:bookmarkEnd w:id="1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3" w:name="联系人传真"/>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叶和</w:t>
            </w:r>
            <w:bookmarkEnd w:id="1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5" w:name="最高管理者"/>
            <w:bookmarkEnd w:id="15"/>
            <w:r>
              <w:rPr>
                <w:rFonts w:ascii="宋体" w:hAnsi="宋体"/>
                <w:b/>
                <w:color w:val="000000" w:themeColor="text1"/>
                <w:sz w:val="20"/>
                <w:szCs w:val="20"/>
              </w:rPr>
              <w:t>叶双</w:t>
            </w:r>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詹秀霞</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一般机械配件的加工</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17.10.02</w:t>
            </w:r>
            <w:bookmarkEnd w:id="18"/>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 xml:space="preserve">□是    </w:t>
            </w:r>
            <w:r>
              <w:rPr>
                <w:rFonts w:hint="eastAsia" w:ascii="宋体" w:hAnsi="宋体"/>
                <w:b/>
                <w:color w:val="000000" w:themeColor="text1"/>
                <w:sz w:val="20"/>
                <w:szCs w:val="20"/>
                <w:lang w:eastAsia="zh-CN"/>
              </w:rPr>
              <w:t>☑</w:t>
            </w:r>
            <w:r>
              <w:rPr>
                <w:rFonts w:hint="eastAsia" w:ascii="宋体" w:hAnsi="宋体"/>
                <w:b/>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2019-09-20 0:00:00</w:t>
            </w:r>
            <w:bookmarkEnd w:id="19"/>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b/>
                <w:color w:val="000000" w:themeColor="text1"/>
                <w:spacing w:val="-2"/>
                <w:sz w:val="20"/>
                <w:szCs w:val="20"/>
              </w:rPr>
            </w:pPr>
            <w:r>
              <w:rPr>
                <w:rFonts w:hint="eastAsia" w:ascii="宋体" w:hAnsi="宋体" w:cs="Times New Roman"/>
                <w:b/>
                <w:color w:val="000000" w:themeColor="text1"/>
                <w:sz w:val="20"/>
                <w:szCs w:val="20"/>
              </w:rPr>
              <w:t>部门:</w:t>
            </w:r>
          </w:p>
        </w:tc>
        <w:tc>
          <w:tcPr>
            <w:tcW w:w="6804" w:type="dxa"/>
            <w:vAlign w:val="top"/>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center"/>
          </w:tcPr>
          <w:p>
            <w:pPr>
              <w:jc w:val="center"/>
              <w:rPr>
                <w:rFonts w:ascii="宋体" w:hAnsi="宋体"/>
                <w:b/>
                <w:color w:val="000000" w:themeColor="text1"/>
                <w:sz w:val="20"/>
                <w:szCs w:val="20"/>
              </w:rPr>
            </w:pPr>
            <w:r>
              <w:rPr>
                <w:rFonts w:hint="eastAsia" w:ascii="宋体" w:hAnsi="宋体" w:cs="Times New Roman"/>
                <w:b/>
                <w:color w:val="000000" w:themeColor="text1"/>
                <w:sz w:val="20"/>
                <w:szCs w:val="20"/>
                <w:lang w:val="en-US" w:eastAsia="zh-CN"/>
              </w:rPr>
              <w:t>管理层</w:t>
            </w:r>
          </w:p>
        </w:tc>
        <w:tc>
          <w:tcPr>
            <w:tcW w:w="6804" w:type="dxa"/>
            <w:vAlign w:val="top"/>
          </w:tcPr>
          <w:p>
            <w:pPr>
              <w:jc w:val="center"/>
              <w:rPr>
                <w:rFonts w:ascii="宋体" w:hAnsi="宋体"/>
                <w:b/>
                <w:color w:val="000000" w:themeColor="text1"/>
                <w:spacing w:val="-20"/>
                <w:sz w:val="20"/>
                <w:szCs w:val="20"/>
                <w:u w:val="single"/>
              </w:rPr>
            </w:pPr>
            <w:r>
              <w:rPr>
                <w:rFonts w:hint="eastAsia" w:ascii="宋体" w:hAnsi="宋体" w:cs="Times New Roman"/>
                <w:b/>
                <w:color w:val="000000" w:themeColor="text1"/>
                <w:sz w:val="20"/>
                <w:szCs w:val="20"/>
              </w:rPr>
              <w:t>按公司的质量方针和</w:t>
            </w:r>
            <w:r>
              <w:rPr>
                <w:rFonts w:hint="eastAsia" w:ascii="宋体" w:hAnsi="宋体" w:cs="Times New Roman"/>
                <w:b/>
                <w:color w:val="000000" w:themeColor="text1"/>
                <w:sz w:val="20"/>
                <w:szCs w:val="20"/>
                <w:lang w:eastAsia="zh-CN"/>
              </w:rPr>
              <w:t>ISO9001</w:t>
            </w:r>
            <w:r>
              <w:rPr>
                <w:rFonts w:hint="eastAsia" w:ascii="宋体" w:hAnsi="宋体" w:cs="Times New Roman"/>
                <w:b/>
                <w:color w:val="000000" w:themeColor="text1"/>
                <w:sz w:val="20"/>
                <w:szCs w:val="20"/>
              </w:rPr>
              <w:t>：2015标准的要求，确保建立、实施和保持并持续改进质量管理体系的过程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center"/>
          </w:tcPr>
          <w:p>
            <w:pPr>
              <w:jc w:val="center"/>
              <w:rPr>
                <w:rFonts w:ascii="宋体" w:hAnsi="宋体"/>
                <w:b/>
                <w:color w:val="000000" w:themeColor="text1"/>
                <w:sz w:val="20"/>
                <w:szCs w:val="20"/>
              </w:rPr>
            </w:pPr>
            <w:r>
              <w:rPr>
                <w:rFonts w:hint="eastAsia" w:ascii="宋体" w:hAnsi="宋体" w:cs="Times New Roman"/>
                <w:b/>
                <w:color w:val="000000" w:themeColor="text1"/>
                <w:sz w:val="20"/>
                <w:szCs w:val="20"/>
                <w:lang w:eastAsia="zh-CN"/>
              </w:rPr>
              <w:t>行政部</w:t>
            </w:r>
          </w:p>
        </w:tc>
        <w:tc>
          <w:tcPr>
            <w:tcW w:w="6804" w:type="dxa"/>
            <w:vAlign w:val="top"/>
          </w:tcPr>
          <w:p>
            <w:pPr>
              <w:jc w:val="center"/>
              <w:rPr>
                <w:rFonts w:ascii="宋体" w:hAnsi="宋体"/>
                <w:b/>
                <w:color w:val="000000" w:themeColor="text1"/>
                <w:spacing w:val="-20"/>
                <w:sz w:val="20"/>
                <w:szCs w:val="20"/>
                <w:u w:val="single"/>
              </w:rPr>
            </w:pPr>
            <w:r>
              <w:rPr>
                <w:rFonts w:hint="eastAsia" w:ascii="宋体" w:hAnsi="宋体"/>
                <w:b/>
                <w:color w:val="000000" w:themeColor="text1"/>
                <w:sz w:val="20"/>
                <w:szCs w:val="20"/>
              </w:rPr>
              <w:t>方针、目标管理；文件、记录控制程；管理评审；内审管理；人员、部门职能职责和权限；风险识别评价管理；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center"/>
          </w:tcPr>
          <w:p>
            <w:pPr>
              <w:jc w:val="center"/>
              <w:rPr>
                <w:rFonts w:ascii="宋体" w:hAnsi="宋体"/>
                <w:b/>
                <w:color w:val="000000" w:themeColor="text1"/>
                <w:sz w:val="20"/>
                <w:szCs w:val="20"/>
              </w:rPr>
            </w:pPr>
            <w:r>
              <w:rPr>
                <w:rFonts w:hint="eastAsia" w:ascii="宋体" w:hAnsi="宋体" w:cs="Times New Roman"/>
                <w:b/>
                <w:color w:val="000000" w:themeColor="text1"/>
                <w:sz w:val="20"/>
                <w:szCs w:val="20"/>
                <w:lang w:val="en-US" w:eastAsia="zh-CN"/>
              </w:rPr>
              <w:t>生产技术部</w:t>
            </w:r>
          </w:p>
        </w:tc>
        <w:tc>
          <w:tcPr>
            <w:tcW w:w="6804" w:type="dxa"/>
            <w:vAlign w:val="top"/>
          </w:tcPr>
          <w:p>
            <w:pPr>
              <w:jc w:val="center"/>
              <w:rPr>
                <w:rFonts w:ascii="宋体" w:hAnsi="宋体"/>
                <w:b/>
                <w:color w:val="000000" w:themeColor="text1"/>
                <w:spacing w:val="-20"/>
                <w:sz w:val="20"/>
                <w:szCs w:val="20"/>
                <w:u w:val="single"/>
              </w:rPr>
            </w:pPr>
            <w:r>
              <w:rPr>
                <w:rFonts w:hint="eastAsia" w:ascii="宋体" w:hAnsi="宋体"/>
                <w:b/>
                <w:color w:val="000000" w:themeColor="text1"/>
                <w:sz w:val="20"/>
                <w:szCs w:val="20"/>
              </w:rPr>
              <w:t>策划管理；过程监控管理；服务过程管理；设备设施管理</w:t>
            </w:r>
            <w:r>
              <w:rPr>
                <w:rFonts w:hint="eastAsia" w:ascii="宋体" w:hAnsi="宋体"/>
                <w:b/>
                <w:color w:val="000000" w:themeColor="text1"/>
                <w:sz w:val="20"/>
                <w:szCs w:val="20"/>
                <w:lang w:eastAsia="zh-CN"/>
              </w:rPr>
              <w:t>；</w:t>
            </w:r>
            <w:r>
              <w:rPr>
                <w:rFonts w:hint="eastAsia" w:ascii="宋体" w:hAnsi="宋体"/>
                <w:b/>
                <w:color w:val="000000" w:themeColor="text1"/>
                <w:sz w:val="20"/>
                <w:szCs w:val="20"/>
              </w:rPr>
              <w:t>监视和测量设备管理；不合格品控制；纠正和预防措施控制</w:t>
            </w:r>
            <w:r>
              <w:rPr>
                <w:rFonts w:hint="eastAsia" w:ascii="宋体" w:hAnsi="宋体"/>
                <w:b/>
                <w:color w:val="000000" w:themeColor="text1"/>
                <w:sz w:val="20"/>
                <w:szCs w:val="20"/>
                <w:lang w:eastAsia="zh-CN"/>
              </w:rPr>
              <w:t>；</w:t>
            </w:r>
            <w:r>
              <w:rPr>
                <w:rFonts w:hint="eastAsia" w:ascii="宋体" w:hAnsi="宋体"/>
                <w:b/>
                <w:color w:val="000000" w:themeColor="text1"/>
                <w:sz w:val="20"/>
                <w:szCs w:val="20"/>
              </w:rPr>
              <w:t>产品验收管理；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center"/>
          </w:tcPr>
          <w:p>
            <w:pPr>
              <w:jc w:val="center"/>
              <w:rPr>
                <w:rFonts w:ascii="宋体" w:hAnsi="宋体"/>
                <w:b/>
                <w:color w:val="000000" w:themeColor="text1"/>
                <w:sz w:val="20"/>
                <w:szCs w:val="20"/>
              </w:rPr>
            </w:pPr>
            <w:r>
              <w:rPr>
                <w:rFonts w:hint="eastAsia" w:ascii="宋体" w:hAnsi="宋体" w:cs="Times New Roman"/>
                <w:b/>
                <w:color w:val="000000" w:themeColor="text1"/>
                <w:sz w:val="20"/>
                <w:szCs w:val="20"/>
                <w:lang w:val="en-US" w:eastAsia="zh-CN"/>
              </w:rPr>
              <w:t>市场部</w:t>
            </w:r>
          </w:p>
        </w:tc>
        <w:tc>
          <w:tcPr>
            <w:tcW w:w="6804" w:type="dxa"/>
            <w:vAlign w:val="top"/>
          </w:tcPr>
          <w:p>
            <w:pPr>
              <w:jc w:val="center"/>
              <w:rPr>
                <w:rFonts w:ascii="宋体" w:hAnsi="宋体"/>
                <w:b/>
                <w:color w:val="000000" w:themeColor="text1"/>
                <w:spacing w:val="-20"/>
                <w:sz w:val="20"/>
                <w:szCs w:val="20"/>
                <w:u w:val="single"/>
              </w:rPr>
            </w:pPr>
            <w:r>
              <w:rPr>
                <w:rFonts w:hint="eastAsia" w:ascii="宋体" w:hAnsi="宋体"/>
                <w:b/>
                <w:color w:val="000000" w:themeColor="text1"/>
                <w:sz w:val="20"/>
                <w:szCs w:val="20"/>
              </w:rPr>
              <w:t>合同管理；采购管理；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rPr>
                <w:rFonts w:ascii="宋体" w:hAnsi="宋体"/>
                <w:b/>
                <w:color w:val="000000" w:themeColor="text1"/>
                <w:szCs w:val="21"/>
              </w:rPr>
            </w:pPr>
          </w:p>
        </w:tc>
        <w:tc>
          <w:tcPr>
            <w:tcW w:w="6804" w:type="dxa"/>
          </w:tcPr>
          <w:p>
            <w:pPr>
              <w:rPr>
                <w:rFonts w:ascii="宋体" w:hAnsi="宋体"/>
                <w:b/>
                <w:color w:val="000000" w:themeColor="text1"/>
                <w:spacing w:val="-20"/>
                <w:szCs w:val="21"/>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7"/>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ascii="宋体" w:hAnsi="宋体"/>
                <w:szCs w:val="21"/>
              </w:rPr>
              <w:t xml:space="preserve">一般机械配件的加工 </w:t>
            </w: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r>
              <w:rPr>
                <w:rFonts w:hint="eastAsia" w:ascii="宋体" w:hAnsi="宋体"/>
                <w:sz w:val="21"/>
                <w:szCs w:val="21"/>
              </w:rPr>
              <w:t>机械加工工艺装备基本术语GB</w:t>
            </w:r>
            <w:r>
              <w:rPr>
                <w:rFonts w:hint="eastAsia" w:ascii="宋体" w:hAnsi="宋体"/>
                <w:sz w:val="21"/>
                <w:szCs w:val="21"/>
                <w:lang w:val="en-US" w:eastAsia="zh-CN"/>
              </w:rPr>
              <w:t>/</w:t>
            </w:r>
            <w:r>
              <w:rPr>
                <w:rFonts w:hint="eastAsia" w:ascii="宋体" w:hAnsi="宋体"/>
                <w:sz w:val="21"/>
                <w:szCs w:val="21"/>
              </w:rPr>
              <w:t>T</w:t>
            </w:r>
            <w:r>
              <w:rPr>
                <w:rFonts w:hint="eastAsia" w:ascii="宋体" w:hAnsi="宋体"/>
                <w:sz w:val="21"/>
                <w:szCs w:val="21"/>
                <w:lang w:val="en-US" w:eastAsia="zh-CN"/>
              </w:rPr>
              <w:t xml:space="preserve"> </w:t>
            </w:r>
            <w:r>
              <w:rPr>
                <w:rFonts w:hint="eastAsia" w:ascii="宋体" w:hAnsi="宋体"/>
                <w:sz w:val="21"/>
                <w:szCs w:val="21"/>
              </w:rPr>
              <w:t>1008</w:t>
            </w:r>
            <w:r>
              <w:rPr>
                <w:rFonts w:hint="eastAsia" w:ascii="宋体" w:hAnsi="宋体"/>
                <w:sz w:val="21"/>
                <w:szCs w:val="21"/>
                <w:lang w:val="en-US" w:eastAsia="zh-CN"/>
              </w:rPr>
              <w:t>-2008</w:t>
            </w:r>
            <w:r>
              <w:rPr>
                <w:rFonts w:hint="eastAsia" w:ascii="宋体" w:hAnsi="宋体"/>
                <w:sz w:val="21"/>
                <w:szCs w:val="21"/>
                <w:lang w:eastAsia="zh-CN"/>
              </w:rPr>
              <w:t>、</w:t>
            </w:r>
            <w:r>
              <w:rPr>
                <w:rFonts w:hint="eastAsia" w:ascii="宋体" w:hAnsi="宋体"/>
                <w:sz w:val="21"/>
                <w:szCs w:val="21"/>
              </w:rPr>
              <w:t>机械加工定位、夹紧符号JB</w:t>
            </w:r>
            <w:r>
              <w:rPr>
                <w:rFonts w:hint="eastAsia" w:ascii="宋体" w:hAnsi="宋体"/>
                <w:sz w:val="21"/>
                <w:szCs w:val="21"/>
                <w:lang w:val="en-US" w:eastAsia="zh-CN"/>
              </w:rPr>
              <w:t>/</w:t>
            </w:r>
            <w:r>
              <w:rPr>
                <w:rFonts w:hint="eastAsia" w:ascii="宋体" w:hAnsi="宋体"/>
                <w:sz w:val="21"/>
                <w:szCs w:val="21"/>
              </w:rPr>
              <w:t>T</w:t>
            </w:r>
            <w:r>
              <w:rPr>
                <w:rFonts w:hint="eastAsia" w:ascii="宋体" w:hAnsi="宋体"/>
                <w:sz w:val="21"/>
                <w:szCs w:val="21"/>
                <w:lang w:val="en-US" w:eastAsia="zh-CN"/>
              </w:rPr>
              <w:t xml:space="preserve"> </w:t>
            </w:r>
            <w:r>
              <w:rPr>
                <w:rFonts w:hint="eastAsia" w:ascii="宋体" w:hAnsi="宋体"/>
                <w:sz w:val="21"/>
                <w:szCs w:val="21"/>
              </w:rPr>
              <w:t>5061</w:t>
            </w:r>
            <w:r>
              <w:rPr>
                <w:rFonts w:hint="eastAsia" w:ascii="宋体" w:hAnsi="宋体"/>
                <w:sz w:val="21"/>
                <w:szCs w:val="21"/>
                <w:lang w:val="en-US" w:eastAsia="zh-CN"/>
              </w:rPr>
              <w:t>-2006</w:t>
            </w:r>
            <w:r>
              <w:rPr>
                <w:rFonts w:hint="eastAsia" w:ascii="宋体" w:hAnsi="宋体"/>
                <w:sz w:val="21"/>
                <w:szCs w:val="21"/>
              </w:rPr>
              <w:t>、产品几何技术规范（GPS) 表面结构 轮廓法 表面粗糙度参数及其数值</w:t>
            </w:r>
            <w:r>
              <w:rPr>
                <w:rFonts w:hint="eastAsia" w:ascii="宋体" w:hAnsi="宋体"/>
                <w:sz w:val="21"/>
                <w:szCs w:val="21"/>
                <w:lang w:val="en-US" w:eastAsia="zh-CN"/>
              </w:rPr>
              <w:t>GB/T 1031-2009</w:t>
            </w: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b/>
          <w:color w:val="000000" w:themeColor="text1"/>
          <w:spacing w:val="-10"/>
          <w:szCs w:val="21"/>
        </w:rPr>
        <w:t>体系运行开始的</w:t>
      </w:r>
      <w:r>
        <w:rPr>
          <w:rFonts w:hint="eastAsia"/>
          <w:b/>
          <w:color w:val="000000" w:themeColor="text1"/>
          <w:spacing w:val="-10"/>
          <w:szCs w:val="21"/>
          <w:lang w:val="en-US" w:eastAsia="zh-CN"/>
        </w:rPr>
        <w:t>2019</w:t>
      </w:r>
      <w:r>
        <w:rPr>
          <w:rFonts w:hint="eastAsia"/>
          <w:b/>
          <w:color w:val="000000" w:themeColor="text1"/>
          <w:spacing w:val="-10"/>
          <w:szCs w:val="21"/>
        </w:rPr>
        <w:t>年</w:t>
      </w:r>
      <w:r>
        <w:rPr>
          <w:rFonts w:hint="eastAsia"/>
          <w:b/>
          <w:color w:val="000000" w:themeColor="text1"/>
          <w:spacing w:val="-10"/>
          <w:szCs w:val="21"/>
          <w:lang w:val="en-US" w:eastAsia="zh-CN"/>
        </w:rPr>
        <w:t>9</w:t>
      </w:r>
      <w:r>
        <w:rPr>
          <w:rFonts w:hint="eastAsia"/>
          <w:b/>
          <w:color w:val="000000" w:themeColor="text1"/>
          <w:spacing w:val="-10"/>
          <w:szCs w:val="21"/>
        </w:rPr>
        <w:t>月</w:t>
      </w:r>
      <w:bookmarkStart w:id="20" w:name="OLE_LINK1"/>
      <w:r>
        <w:rPr>
          <w:rFonts w:hint="eastAsia"/>
          <w:b/>
          <w:color w:val="000000" w:themeColor="text1"/>
          <w:spacing w:val="-10"/>
          <w:szCs w:val="21"/>
          <w:lang w:val="en-US" w:eastAsia="zh-CN"/>
        </w:rPr>
        <w:t>20</w:t>
      </w:r>
      <w:r>
        <w:rPr>
          <w:rFonts w:hint="eastAsia"/>
          <w:b/>
          <w:color w:val="000000" w:themeColor="text1"/>
          <w:spacing w:val="-10"/>
          <w:szCs w:val="21"/>
        </w:rPr>
        <w:t>日</w:t>
      </w:r>
      <w:bookmarkEnd w:id="20"/>
      <w:r>
        <w:rPr>
          <w:rFonts w:hint="eastAsia"/>
          <w:b/>
          <w:color w:val="000000" w:themeColor="text1"/>
          <w:spacing w:val="-10"/>
          <w:szCs w:val="21"/>
        </w:rPr>
        <w:t>至</w:t>
      </w:r>
      <w:r>
        <w:rPr>
          <w:rFonts w:hint="eastAsia"/>
          <w:b/>
          <w:color w:val="000000" w:themeColor="text1"/>
          <w:spacing w:val="-10"/>
          <w:szCs w:val="21"/>
          <w:lang w:val="en-US" w:eastAsia="zh-CN"/>
        </w:rPr>
        <w:t>2020</w:t>
      </w:r>
      <w:r>
        <w:rPr>
          <w:rFonts w:hint="eastAsia"/>
          <w:b/>
          <w:color w:val="000000" w:themeColor="text1"/>
          <w:spacing w:val="-10"/>
          <w:szCs w:val="21"/>
        </w:rPr>
        <w:t>年</w:t>
      </w:r>
      <w:r>
        <w:rPr>
          <w:rFonts w:hint="eastAsia"/>
          <w:b/>
          <w:color w:val="000000" w:themeColor="text1"/>
          <w:spacing w:val="-10"/>
          <w:szCs w:val="21"/>
          <w:lang w:val="en-US" w:eastAsia="zh-CN"/>
        </w:rPr>
        <w:t>7</w:t>
      </w:r>
      <w:r>
        <w:rPr>
          <w:rFonts w:hint="eastAsia"/>
          <w:b/>
          <w:color w:val="000000" w:themeColor="text1"/>
          <w:spacing w:val="-10"/>
          <w:szCs w:val="21"/>
        </w:rPr>
        <w:t>月</w:t>
      </w:r>
      <w:r>
        <w:rPr>
          <w:rFonts w:hint="eastAsia"/>
          <w:b/>
          <w:color w:val="000000" w:themeColor="text1"/>
          <w:spacing w:val="-10"/>
          <w:szCs w:val="21"/>
          <w:lang w:val="en-US" w:eastAsia="zh-CN"/>
        </w:rPr>
        <w:t>19</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6"/>
        <w:tblpPr w:leftFromText="180" w:rightFromText="180" w:vertAnchor="text" w:horzAnchor="page" w:tblpX="998" w:tblpY="316"/>
        <w:tblOverlap w:val="never"/>
        <w:tblW w:w="99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ind w:firstLine="420" w:firstLineChars="200"/>
              <w:rPr>
                <w:b/>
                <w:color w:val="000000" w:themeColor="text1"/>
                <w:sz w:val="20"/>
                <w:szCs w:val="20"/>
              </w:rPr>
            </w:pPr>
            <w:r>
              <w:rPr>
                <w:rFonts w:hint="eastAsia" w:ascii="宋体" w:hAnsi="宋体"/>
                <w:color w:val="000000" w:themeColor="text1"/>
              </w:rPr>
              <w:t>组织对内外部因素、相关方需求和期望进行了充分的识别，策划和实施有效。组织确定了体系的边界，基本适用。管理体系全条款适用</w:t>
            </w:r>
            <w:r>
              <w:rPr>
                <w:rFonts w:hint="eastAsia" w:ascii="华文楷体" w:hAnsi="华文楷体" w:eastAsia="华文楷体"/>
                <w:bCs/>
                <w:i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240" w:lineRule="exact"/>
              <w:ind w:firstLine="420" w:firstLineChars="200"/>
              <w:rPr>
                <w:b/>
                <w:color w:val="000000" w:themeColor="text1"/>
                <w:sz w:val="20"/>
                <w:szCs w:val="20"/>
              </w:rPr>
            </w:pPr>
            <w:r>
              <w:rPr>
                <w:rFonts w:hint="eastAsia" w:ascii="宋体" w:hAnsi="宋体" w:cs="宋体"/>
                <w:color w:val="000000"/>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4" w:hRule="atLeast"/>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2"/>
              </w:numPr>
              <w:spacing w:line="280" w:lineRule="exact"/>
              <w:rPr>
                <w:rFonts w:hint="eastAsia" w:ascii="宋体" w:hAnsi="宋体"/>
                <w:b/>
                <w:color w:val="000000" w:themeColor="text1"/>
                <w:sz w:val="20"/>
                <w:szCs w:val="20"/>
              </w:rPr>
            </w:pPr>
            <w:r>
              <w:rPr>
                <w:rFonts w:hint="eastAsia" w:ascii="宋体" w:hAnsi="宋体"/>
                <w:lang w:eastAsia="zh-CN"/>
              </w:rPr>
              <w:t>☑</w:t>
            </w:r>
            <w:r>
              <w:rPr>
                <w:rFonts w:hint="eastAsia" w:ascii="宋体" w:hAnsi="宋体"/>
              </w:rPr>
              <w:t xml:space="preserve"> </w:t>
            </w:r>
            <w:r>
              <w:rPr>
                <w:rFonts w:hint="eastAsia" w:ascii="宋体" w:hAnsi="宋体"/>
                <w:b/>
                <w:color w:val="000000" w:themeColor="text1"/>
                <w:sz w:val="20"/>
                <w:szCs w:val="20"/>
              </w:rPr>
              <w:t>质量/</w:t>
            </w:r>
            <w:r>
              <w:rPr>
                <w:rFonts w:hint="eastAsia" w:ascii="宋体" w:hAnsi="宋体"/>
              </w:rPr>
              <w:t xml:space="preserve">□ </w:t>
            </w:r>
            <w:r>
              <w:rPr>
                <w:rFonts w:hint="eastAsia" w:ascii="宋体" w:hAnsi="宋体"/>
                <w:b/>
                <w:color w:val="000000" w:themeColor="text1"/>
                <w:sz w:val="20"/>
                <w:szCs w:val="20"/>
              </w:rPr>
              <w:t>环境/</w:t>
            </w:r>
            <w:r>
              <w:rPr>
                <w:rFonts w:hint="eastAsia" w:ascii="宋体" w:hAnsi="宋体"/>
              </w:rPr>
              <w:t xml:space="preserve">□ </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numPr>
                <w:ilvl w:val="0"/>
                <w:numId w:val="0"/>
              </w:numPr>
              <w:spacing w:line="280" w:lineRule="exact"/>
              <w:ind w:firstLine="210" w:firstLineChars="100"/>
              <w:rPr>
                <w:rFonts w:hint="eastAsia"/>
                <w:b/>
                <w:bCs/>
                <w:sz w:val="21"/>
                <w:szCs w:val="21"/>
                <w:lang w:val="en-US" w:eastAsia="zh-CN"/>
              </w:rPr>
            </w:pPr>
            <w:r>
              <w:rPr>
                <w:rFonts w:hint="eastAsia" w:ascii="宋体" w:hAnsi="宋体"/>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管理方针：</w:t>
            </w:r>
            <w:r>
              <w:rPr>
                <w:rFonts w:hint="eastAsia" w:ascii="宋体" w:hAnsi="宋体" w:eastAsia="宋体" w:cs="Times New Roman"/>
                <w:color w:val="000000" w:themeColor="text1"/>
                <w:kern w:val="2"/>
                <w:sz w:val="21"/>
                <w:szCs w:val="24"/>
                <w:lang w:val="en-US" w:eastAsia="zh-CN" w:bidi="ar-SA"/>
              </w:rPr>
              <w:t>质量为本，信誉第一，服务至上，持续改进</w:t>
            </w:r>
            <w:r>
              <w:rPr>
                <w:rFonts w:hint="eastAsia" w:ascii="宋体" w:hAnsi="宋体" w:cs="Times New Roman"/>
                <w:color w:val="000000" w:themeColor="text1"/>
                <w:kern w:val="2"/>
                <w:sz w:val="21"/>
                <w:szCs w:val="24"/>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rPr>
            </w:pPr>
            <w:r>
              <w:rPr>
                <w:b/>
                <w:color w:val="000000" w:themeColor="text1"/>
              </w:rPr>
              <w:t>4、</w:t>
            </w:r>
            <w:r>
              <w:rPr>
                <w:rFonts w:hint="eastAsia"/>
                <w:b/>
                <w:color w:val="000000" w:themeColor="text1"/>
              </w:rPr>
              <w:t>风险识别与控制策划（QMS）</w:t>
            </w:r>
          </w:p>
          <w:p>
            <w:pPr>
              <w:spacing w:line="240" w:lineRule="exact"/>
              <w:ind w:firstLine="210" w:firstLineChars="100"/>
              <w:rPr>
                <w:rFonts w:ascii="宋体" w:hAnsi="宋体"/>
                <w:color w:val="000000" w:themeColor="text1"/>
              </w:rPr>
            </w:pPr>
            <w:r>
              <w:rPr>
                <w:rFonts w:hint="eastAsia" w:ascii="宋体" w:hAnsi="宋体"/>
                <w:color w:val="000000" w:themeColor="text1"/>
              </w:rPr>
              <w:t>制定并实施了相关程序和安全生产管理制度</w:t>
            </w:r>
            <w:r>
              <w:rPr>
                <w:rFonts w:ascii="宋体" w:hAnsi="宋体"/>
                <w:color w:val="000000" w:themeColor="text1"/>
              </w:rPr>
              <w:t>，</w:t>
            </w:r>
            <w:r>
              <w:rPr>
                <w:rFonts w:hint="eastAsia" w:ascii="宋体" w:hAnsi="宋体"/>
                <w:color w:val="000000" w:themeColor="text1"/>
              </w:rPr>
              <w:t>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trPr>
        <w:tc>
          <w:tcPr>
            <w:tcW w:w="720" w:type="dxa"/>
            <w:vMerge w:val="continue"/>
            <w:vAlign w:val="center"/>
          </w:tcPr>
          <w:p>
            <w:pPr>
              <w:spacing w:line="240" w:lineRule="exact"/>
              <w:jc w:val="center"/>
              <w:rPr>
                <w:b/>
                <w:color w:val="000000" w:themeColor="text1"/>
                <w:sz w:val="20"/>
                <w:highlight w:val="none"/>
              </w:rPr>
            </w:pPr>
          </w:p>
        </w:tc>
        <w:tc>
          <w:tcPr>
            <w:tcW w:w="9198" w:type="dxa"/>
          </w:tcPr>
          <w:p>
            <w:pPr>
              <w:spacing w:line="300" w:lineRule="exact"/>
              <w:rPr>
                <w:rFonts w:ascii="宋体" w:hAnsi="宋体"/>
                <w:b/>
                <w:color w:val="000000" w:themeColor="text1"/>
                <w:sz w:val="20"/>
                <w:szCs w:val="20"/>
                <w:highlight w:val="none"/>
              </w:rPr>
            </w:pPr>
            <w:r>
              <w:rPr>
                <w:rFonts w:hint="eastAsia"/>
                <w:b/>
                <w:color w:val="000000" w:themeColor="text1"/>
                <w:sz w:val="20"/>
                <w:szCs w:val="20"/>
                <w:highlight w:val="none"/>
              </w:rPr>
              <w:t>5.</w:t>
            </w:r>
            <w:r>
              <w:rPr>
                <w:b/>
                <w:color w:val="000000" w:themeColor="text1"/>
                <w:sz w:val="20"/>
                <w:szCs w:val="20"/>
                <w:highlight w:val="none"/>
              </w:rPr>
              <w:t>QMS</w:t>
            </w:r>
            <w:r>
              <w:rPr>
                <w:rFonts w:hint="eastAsia" w:ascii="宋体" w:hAnsi="宋体"/>
                <w:b/>
                <w:color w:val="000000" w:themeColor="text1"/>
                <w:sz w:val="20"/>
                <w:szCs w:val="20"/>
                <w:highlight w:val="none"/>
              </w:rPr>
              <w:t>过程</w:t>
            </w:r>
          </w:p>
          <w:p>
            <w:pPr>
              <w:spacing w:line="0" w:lineRule="atLeast"/>
              <w:jc w:val="left"/>
              <w:rPr>
                <w:rFonts w:hint="eastAsia" w:ascii="宋体" w:hAnsi="宋体"/>
                <w:szCs w:val="21"/>
                <w:highlight w:val="none"/>
              </w:rPr>
            </w:pPr>
            <w:r>
              <w:rPr>
                <w:rFonts w:hint="eastAsia" w:ascii="宋体" w:hAnsi="宋体"/>
                <w:b/>
                <w:color w:val="000000" w:themeColor="text1"/>
                <w:sz w:val="20"/>
                <w:szCs w:val="20"/>
                <w:highlight w:val="none"/>
              </w:rPr>
              <w:t>质量管理体系过程有：</w:t>
            </w:r>
            <w:r>
              <w:rPr>
                <w:rFonts w:hint="eastAsia" w:ascii="宋体" w:hAnsi="宋体"/>
                <w:b/>
                <w:color w:val="000000" w:themeColor="text1"/>
                <w:sz w:val="20"/>
                <w:szCs w:val="20"/>
                <w:highlight w:val="none"/>
                <w:lang w:val="en-US" w:eastAsia="zh-CN"/>
              </w:rPr>
              <w:t xml:space="preserve">  </w:t>
            </w:r>
            <w:r>
              <w:rPr>
                <w:rFonts w:hint="eastAsia" w:ascii="宋体" w:hAnsi="宋体" w:cs="宋体"/>
                <w:sz w:val="21"/>
                <w:szCs w:val="21"/>
                <w:highlight w:val="none"/>
              </w:rPr>
              <w:t>一般机械配件的加工</w:t>
            </w:r>
          </w:p>
          <w:p>
            <w:pPr>
              <w:tabs>
                <w:tab w:val="left" w:pos="540"/>
              </w:tabs>
              <w:spacing w:line="300" w:lineRule="exact"/>
              <w:rPr>
                <w:rFonts w:hint="default" w:ascii="宋体" w:hAnsi="宋体" w:eastAsia="宋体"/>
                <w:b/>
                <w:color w:val="000000" w:themeColor="text1"/>
                <w:sz w:val="20"/>
                <w:szCs w:val="20"/>
                <w:highlight w:val="none"/>
                <w:u w:val="single"/>
                <w:lang w:val="en-US" w:eastAsia="zh-CN"/>
              </w:rPr>
            </w:pPr>
            <w:r>
              <w:rPr>
                <w:rFonts w:hint="eastAsia" w:ascii="宋体" w:hAnsi="宋体"/>
                <w:b/>
                <w:color w:val="000000" w:themeColor="text1"/>
                <w:sz w:val="20"/>
                <w:szCs w:val="20"/>
                <w:highlight w:val="none"/>
              </w:rPr>
              <w:t>其中关键过程有：</w:t>
            </w:r>
            <w:r>
              <w:rPr>
                <w:rFonts w:hint="eastAsia" w:ascii="宋体" w:hAnsi="宋体"/>
                <w:b/>
                <w:color w:val="000000" w:themeColor="text1"/>
                <w:sz w:val="20"/>
                <w:szCs w:val="20"/>
                <w:highlight w:val="none"/>
                <w:lang w:val="en-US" w:eastAsia="zh-CN"/>
              </w:rPr>
              <w:t>机加工过程</w:t>
            </w:r>
          </w:p>
          <w:p>
            <w:pPr>
              <w:tabs>
                <w:tab w:val="left" w:pos="540"/>
              </w:tabs>
              <w:spacing w:line="300" w:lineRule="exact"/>
              <w:ind w:left="201" w:hanging="201" w:hangingChars="100"/>
              <w:rPr>
                <w:rFonts w:hint="eastAsia" w:ascii="宋体" w:hAnsi="宋体"/>
                <w:b/>
                <w:color w:val="000000" w:themeColor="text1"/>
                <w:sz w:val="20"/>
                <w:szCs w:val="20"/>
                <w:highlight w:val="none"/>
                <w:lang w:val="en-US" w:eastAsia="zh-CN"/>
              </w:rPr>
            </w:pPr>
            <w:r>
              <w:rPr>
                <w:rFonts w:hint="eastAsia" w:ascii="宋体" w:hAnsi="宋体"/>
                <w:b/>
                <w:color w:val="000000" w:themeColor="text1"/>
                <w:sz w:val="20"/>
                <w:szCs w:val="20"/>
                <w:highlight w:val="none"/>
              </w:rPr>
              <w:t>需要确认过程：</w:t>
            </w:r>
            <w:r>
              <w:rPr>
                <w:rFonts w:hint="eastAsia" w:ascii="宋体"/>
                <w:sz w:val="24"/>
                <w:szCs w:val="22"/>
                <w:highlight w:val="none"/>
              </w:rPr>
              <w:t xml:space="preserve">  </w:t>
            </w:r>
            <w:r>
              <w:rPr>
                <w:rFonts w:hint="eastAsia" w:ascii="宋体" w:hAnsi="宋体"/>
                <w:b/>
                <w:color w:val="000000" w:themeColor="text1"/>
                <w:sz w:val="20"/>
                <w:szCs w:val="20"/>
                <w:highlight w:val="none"/>
                <w:lang w:eastAsia="zh-CN"/>
              </w:rPr>
              <w:t>焊接</w:t>
            </w:r>
            <w:r>
              <w:rPr>
                <w:rFonts w:hint="eastAsia" w:ascii="宋体" w:hAnsi="宋体"/>
                <w:b/>
                <w:color w:val="000000" w:themeColor="text1"/>
                <w:sz w:val="20"/>
                <w:szCs w:val="20"/>
                <w:highlight w:val="none"/>
                <w:lang w:val="en-US" w:eastAsia="zh-CN"/>
              </w:rPr>
              <w:t>过程</w:t>
            </w:r>
          </w:p>
          <w:p>
            <w:pPr>
              <w:tabs>
                <w:tab w:val="left" w:pos="540"/>
              </w:tabs>
              <w:spacing w:line="300" w:lineRule="exact"/>
              <w:ind w:left="201" w:hanging="201" w:hangingChars="100"/>
              <w:rPr>
                <w:rFonts w:hint="default" w:ascii="宋体" w:hAnsi="宋体"/>
                <w:b/>
                <w:color w:val="000000" w:themeColor="text1"/>
                <w:sz w:val="20"/>
                <w:szCs w:val="20"/>
                <w:highlight w:val="none"/>
                <w:lang w:val="en-US" w:eastAsia="zh-CN"/>
              </w:rPr>
            </w:pPr>
            <w:r>
              <w:rPr>
                <w:rFonts w:hint="eastAsia" w:ascii="宋体" w:hAnsi="宋体"/>
                <w:b/>
                <w:color w:val="000000" w:themeColor="text1"/>
                <w:sz w:val="20"/>
                <w:szCs w:val="20"/>
                <w:highlight w:val="none"/>
                <w:lang w:val="en-US" w:eastAsia="zh-CN"/>
              </w:rPr>
              <w:t>外包过程：   无</w:t>
            </w:r>
          </w:p>
          <w:p>
            <w:pPr>
              <w:tabs>
                <w:tab w:val="left" w:pos="540"/>
              </w:tabs>
              <w:spacing w:line="300" w:lineRule="exact"/>
              <w:ind w:left="201" w:hanging="201" w:hangingChars="100"/>
              <w:rPr>
                <w:rFonts w:ascii="宋体" w:hAnsi="宋体"/>
                <w:b/>
                <w:color w:val="000000" w:themeColor="text1"/>
                <w:szCs w:val="21"/>
                <w:highlight w:val="none"/>
              </w:rPr>
            </w:pPr>
            <w:r>
              <w:rPr>
                <w:rFonts w:ascii="宋体" w:hAnsi="宋体"/>
                <w:b/>
                <w:color w:val="000000" w:themeColor="text1"/>
                <w:sz w:val="20"/>
                <w:szCs w:val="20"/>
                <w:highlight w:val="none"/>
              </w:rPr>
              <w:pict>
                <v:shape id="_x0000_s2050" o:spid="_x0000_s2050" o:spt="32" type="#_x0000_t32" style="position:absolute;left:0pt;margin-left:55.15pt;margin-top:12.75pt;height:0pt;width:42pt;z-index:251737088;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highlight w:val="none"/>
              </w:rPr>
              <w:t>不适用条款是 Q8.3       ，不适用理由：</w:t>
            </w:r>
            <w:r>
              <w:rPr>
                <w:rFonts w:hint="eastAsia"/>
                <w:sz w:val="21"/>
                <w:szCs w:val="21"/>
                <w:highlight w:val="none"/>
                <w:lang w:val="en-US" w:eastAsia="zh-CN"/>
              </w:rPr>
              <w:t>公司一般机械配件的加工依据国家成熟工艺,按国家标准的生产技术要求生产,因此标准8.3条款“产品和服务的设计和开发”要求不适用。公司确保不适用的质量管理体系的产品和服务的设计和开发要求，不影响组织确保产品和服务合格以及增强顾客满意的能力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r>
              <w:rPr>
                <w:rFonts w:ascii="宋体" w:hAnsi="宋体"/>
                <w:b/>
                <w:color w:val="000000" w:themeColor="text1"/>
                <w:spacing w:val="-12"/>
                <w:sz w:val="20"/>
                <w:szCs w:val="20"/>
              </w:rPr>
              <w:t xml:space="preserve"> </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ind w:firstLine="301" w:firstLineChars="150"/>
              <w:rPr>
                <w:rFonts w:hint="eastAsia" w:asciiTheme="minorEastAsia" w:hAnsiTheme="minorEastAsia" w:eastAsiaTheme="minorEastAsia"/>
                <w:b/>
                <w:color w:val="000000" w:themeColor="text1"/>
                <w:sz w:val="20"/>
                <w:szCs w:val="20"/>
                <w:lang w:val="en-US" w:eastAsia="zh-CN"/>
              </w:rPr>
            </w:pPr>
            <w:r>
              <w:rPr>
                <w:rFonts w:hint="eastAsia" w:asciiTheme="minorEastAsia" w:hAnsiTheme="minorEastAsia" w:eastAsiaTheme="minor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atLeast"/>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00" w:lineRule="exact"/>
              <w:ind w:firstLine="370" w:firstLineChars="200"/>
              <w:rPr>
                <w:rFonts w:hint="default" w:ascii="宋体" w:hAnsi="宋体" w:eastAsia="宋体"/>
                <w:b/>
                <w:color w:val="000000" w:themeColor="text1"/>
                <w:spacing w:val="-8"/>
                <w:sz w:val="20"/>
                <w:szCs w:val="20"/>
                <w:lang w:val="en-US" w:eastAsia="zh-CN"/>
              </w:rPr>
            </w:pPr>
            <w:r>
              <w:rPr>
                <w:rFonts w:hint="eastAsia" w:ascii="宋体" w:hAnsi="宋体"/>
                <w:b/>
                <w:color w:val="000000" w:themeColor="text1"/>
                <w:spacing w:val="-8"/>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8.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0"/>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获取法律法规项，</w:t>
            </w:r>
            <w:r>
              <w:rPr>
                <w:rFonts w:hint="eastAsia" w:ascii="宋体" w:hAnsi="宋体"/>
                <w:b/>
                <w:color w:val="000000" w:themeColor="text1"/>
                <w:szCs w:val="21"/>
                <w:lang w:eastAsia="zh-CN"/>
              </w:rPr>
              <w:t>☑</w:t>
            </w:r>
            <w:r>
              <w:rPr>
                <w:rFonts w:hint="eastAsia" w:ascii="宋体" w:hAnsi="宋体"/>
                <w:b/>
                <w:color w:val="000000" w:themeColor="text1"/>
                <w:szCs w:val="21"/>
              </w:rPr>
              <w:t>法律法规获取充分，□法律法规获取有遗漏，缺少</w:t>
            </w:r>
          </w:p>
          <w:p>
            <w:pPr>
              <w:tabs>
                <w:tab w:val="left" w:pos="540"/>
              </w:tabs>
              <w:spacing w:line="300" w:lineRule="exact"/>
              <w:ind w:left="1" w:leftChars="-43" w:hanging="91" w:hangingChars="43"/>
              <w:rPr>
                <w:rFonts w:ascii="宋体" w:hAnsi="宋体"/>
                <w:b/>
                <w:color w:val="000000" w:themeColor="text1"/>
                <w:szCs w:val="21"/>
                <w:u w:val="single"/>
              </w:rPr>
            </w:pPr>
          </w:p>
          <w:p>
            <w:pPr>
              <w:pStyle w:val="10"/>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w:t>
            </w:r>
            <w:r>
              <w:rPr>
                <w:rFonts w:hint="eastAsia" w:ascii="宋体" w:hAnsi="宋体"/>
                <w:b/>
                <w:color w:val="000000" w:themeColor="text1"/>
                <w:szCs w:val="21"/>
                <w:lang w:eastAsia="zh-CN"/>
              </w:rPr>
              <w:t>☑</w:t>
            </w:r>
            <w:r>
              <w:rPr>
                <w:rFonts w:hint="eastAsia" w:ascii="宋体" w:hAnsi="宋体"/>
                <w:b/>
                <w:color w:val="000000" w:themeColor="text1"/>
                <w:szCs w:val="21"/>
              </w:rPr>
              <w:t>产品/服务□环境因素□危险源，</w:t>
            </w:r>
            <w:r>
              <w:rPr>
                <w:rFonts w:hint="eastAsia" w:ascii="宋体" w:hAnsi="宋体"/>
                <w:b/>
                <w:color w:val="000000" w:themeColor="text1"/>
                <w:szCs w:val="21"/>
                <w:lang w:eastAsia="zh-CN"/>
              </w:rPr>
              <w:t>☑</w:t>
            </w:r>
            <w:r>
              <w:rPr>
                <w:rFonts w:hint="eastAsia" w:ascii="宋体" w:hAnsi="宋体"/>
                <w:b/>
                <w:color w:val="000000" w:themeColor="text1"/>
                <w:szCs w:val="21"/>
              </w:rPr>
              <w:t>确定 □未确定法律法规要求的具体条款，</w:t>
            </w:r>
          </w:p>
          <w:p>
            <w:pPr>
              <w:pStyle w:val="10"/>
              <w:numPr>
                <w:ilvl w:val="0"/>
                <w:numId w:val="3"/>
              </w:numPr>
              <w:tabs>
                <w:tab w:val="left" w:pos="540"/>
              </w:tabs>
              <w:spacing w:line="300" w:lineRule="exact"/>
              <w:ind w:firstLineChars="0"/>
              <w:rPr>
                <w:rFonts w:hint="eastAsia" w:ascii="宋体" w:hAnsi="宋体"/>
                <w:b/>
                <w:color w:val="000000" w:themeColor="text1"/>
                <w:szCs w:val="21"/>
              </w:rPr>
            </w:pPr>
            <w:r>
              <w:rPr>
                <w:rFonts w:hint="eastAsia" w:ascii="宋体" w:hAnsi="宋体"/>
                <w:b/>
                <w:color w:val="000000" w:themeColor="text1"/>
                <w:szCs w:val="21"/>
              </w:rPr>
              <w:t>法律法规的宣传方式：培训、会议、张贴。</w:t>
            </w:r>
          </w:p>
          <w:p>
            <w:pPr>
              <w:pStyle w:val="10"/>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9.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宋体" w:hAnsi="宋体"/>
                <w:b/>
                <w:color w:val="000000" w:themeColor="text1"/>
                <w:sz w:val="20"/>
                <w:szCs w:val="20"/>
                <w:highlight w:val="none"/>
              </w:rPr>
            </w:pPr>
            <w:r>
              <w:rPr>
                <w:rFonts w:hint="eastAsia" w:ascii="宋体" w:hAnsi="宋体" w:cs="宋体"/>
                <w:color w:val="000000"/>
                <w:kern w:val="0"/>
                <w:szCs w:val="21"/>
              </w:rPr>
              <w:t>公司制定、发布了总体目标并分解到相关职能部门和层次，规定了目标值、计算方法、责任部门、检</w:t>
            </w:r>
            <w:r>
              <w:rPr>
                <w:rFonts w:hint="eastAsia" w:ascii="宋体" w:hAnsi="宋体" w:cs="宋体"/>
                <w:color w:val="000000"/>
                <w:kern w:val="0"/>
                <w:szCs w:val="21"/>
                <w:highlight w:val="none"/>
              </w:rPr>
              <w:t>查人、考核频次等。同时，质量目标得到沟通和监视评价，通过数据的汇总统计、描述性统计等方法对目标进行了测量，总体已达到或超过了规定的目标值，但质量目标的数据分析利用不到位</w:t>
            </w:r>
          </w:p>
          <w:p>
            <w:pPr>
              <w:keepNext w:val="0"/>
              <w:keepLines w:val="0"/>
              <w:pageBreakBefore w:val="0"/>
              <w:kinsoku/>
              <w:wordWrap/>
              <w:overflowPunct/>
              <w:topLinePunct w:val="0"/>
              <w:autoSpaceDE/>
              <w:autoSpaceDN/>
              <w:bidi w:val="0"/>
              <w:adjustRightInd/>
              <w:snapToGrid/>
              <w:spacing w:line="240" w:lineRule="auto"/>
              <w:textAlignment w:val="auto"/>
              <w:rPr>
                <w:color w:val="000000"/>
                <w:szCs w:val="21"/>
                <w:highlight w:val="none"/>
              </w:rPr>
            </w:pPr>
            <w:r>
              <w:rPr>
                <w:rFonts w:hint="eastAsia"/>
                <w:color w:val="000000"/>
                <w:szCs w:val="21"/>
                <w:highlight w:val="none"/>
              </w:rPr>
              <w:t>质量目标：</w:t>
            </w:r>
          </w:p>
          <w:p>
            <w:pPr>
              <w:pStyle w:val="5"/>
              <w:keepNext w:val="0"/>
              <w:keepLines w:val="0"/>
              <w:pageBreakBefore w:val="0"/>
              <w:kinsoku/>
              <w:wordWrap/>
              <w:overflowPunct/>
              <w:topLinePunct w:val="0"/>
              <w:autoSpaceDE/>
              <w:autoSpaceDN/>
              <w:bidi w:val="0"/>
              <w:adjustRightInd/>
              <w:snapToGrid/>
              <w:spacing w:before="0" w:beforeAutospacing="0" w:after="0" w:afterAutospacing="0" w:line="240" w:lineRule="auto"/>
              <w:textAlignment w:val="auto"/>
              <w:rPr>
                <w:rFonts w:hint="eastAsia" w:ascii="宋体" w:hAnsi="宋体" w:cs="Times New Roman"/>
                <w:kern w:val="2"/>
                <w:sz w:val="21"/>
                <w:szCs w:val="21"/>
                <w:highlight w:val="none"/>
                <w:lang w:val="en-US" w:eastAsia="zh-CN" w:bidi="ar-SA"/>
              </w:rPr>
            </w:pPr>
            <w:r>
              <w:rPr>
                <w:rFonts w:hint="eastAsia" w:ascii="宋体" w:hAnsi="宋体" w:cs="Times New Roman"/>
                <w:kern w:val="2"/>
                <w:sz w:val="21"/>
                <w:szCs w:val="21"/>
                <w:highlight w:val="none"/>
                <w:lang w:val="en-US" w:eastAsia="zh-CN" w:bidi="ar-SA"/>
              </w:rPr>
              <w:t>1、一次交验合格率≥95%</w:t>
            </w:r>
            <w:r>
              <w:rPr>
                <w:rFonts w:hint="eastAsia" w:cs="Times New Roman"/>
                <w:kern w:val="2"/>
                <w:sz w:val="21"/>
                <w:szCs w:val="21"/>
                <w:highlight w:val="none"/>
                <w:lang w:val="en-US" w:eastAsia="zh-CN" w:bidi="ar-SA"/>
              </w:rPr>
              <w:t>；</w:t>
            </w:r>
          </w:p>
          <w:p>
            <w:pPr>
              <w:pStyle w:val="5"/>
              <w:keepNext w:val="0"/>
              <w:keepLines w:val="0"/>
              <w:pageBreakBefore w:val="0"/>
              <w:kinsoku/>
              <w:wordWrap/>
              <w:overflowPunct/>
              <w:topLinePunct w:val="0"/>
              <w:autoSpaceDE/>
              <w:autoSpaceDN/>
              <w:bidi w:val="0"/>
              <w:adjustRightInd/>
              <w:snapToGrid/>
              <w:spacing w:before="0" w:beforeAutospacing="0" w:after="0" w:afterAutospacing="0" w:line="240" w:lineRule="auto"/>
              <w:textAlignment w:val="auto"/>
              <w:rPr>
                <w:rFonts w:hint="eastAsia" w:ascii="宋体" w:hAnsi="宋体" w:cs="Times New Roman"/>
                <w:kern w:val="2"/>
                <w:sz w:val="21"/>
                <w:szCs w:val="21"/>
                <w:highlight w:val="none"/>
                <w:lang w:val="en-US" w:eastAsia="zh-CN" w:bidi="ar-SA"/>
              </w:rPr>
            </w:pPr>
            <w:r>
              <w:rPr>
                <w:rFonts w:hint="eastAsia" w:ascii="宋体" w:hAnsi="宋体" w:cs="Times New Roman"/>
                <w:kern w:val="2"/>
                <w:sz w:val="21"/>
                <w:szCs w:val="21"/>
                <w:highlight w:val="none"/>
                <w:lang w:val="en-US" w:eastAsia="zh-CN" w:bidi="ar-SA"/>
              </w:rPr>
              <w:t>2、产品出厂合格率达到100%</w:t>
            </w:r>
            <w:r>
              <w:rPr>
                <w:rFonts w:hint="eastAsia" w:cs="Times New Roman"/>
                <w:kern w:val="2"/>
                <w:sz w:val="21"/>
                <w:szCs w:val="21"/>
                <w:highlight w:val="none"/>
                <w:lang w:val="en-US" w:eastAsia="zh-CN" w:bidi="ar-SA"/>
              </w:rPr>
              <w:t>；</w:t>
            </w:r>
          </w:p>
          <w:p>
            <w:pPr>
              <w:spacing w:line="300" w:lineRule="exact"/>
              <w:rPr>
                <w:rFonts w:ascii="宋体" w:hAnsi="宋体"/>
                <w:b/>
                <w:color w:val="000000" w:themeColor="text1"/>
              </w:rPr>
            </w:pPr>
            <w:r>
              <w:rPr>
                <w:rFonts w:hint="eastAsia" w:ascii="宋体" w:hAnsi="宋体" w:cs="Times New Roman"/>
                <w:kern w:val="2"/>
                <w:sz w:val="21"/>
                <w:szCs w:val="21"/>
                <w:highlight w:val="none"/>
                <w:lang w:val="en-US" w:eastAsia="zh-CN" w:bidi="ar-SA"/>
              </w:rPr>
              <w:t>3、顾客满意度≥95%。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10.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ind w:firstLine="420" w:firstLineChars="200"/>
              <w:rPr>
                <w:rFonts w:ascii="宋体" w:hAnsi="宋体"/>
                <w:b/>
                <w:color w:val="000000" w:themeColor="text1"/>
                <w:sz w:val="20"/>
                <w:szCs w:val="20"/>
              </w:rPr>
            </w:pPr>
            <w:r>
              <w:rPr>
                <w:rFonts w:hint="eastAsia" w:ascii="宋体" w:hAnsi="宋体" w:cs="宋体"/>
                <w:color w:val="000000" w:themeColor="text1"/>
              </w:rPr>
              <w:t>公司按照申请认证的标准要求，建立并形成了文件化的</w:t>
            </w:r>
            <w:r>
              <w:rPr>
                <w:rFonts w:hint="eastAsia" w:ascii="宋体" w:hAnsi="宋体"/>
                <w:color w:val="000000" w:themeColor="text1"/>
                <w:lang w:eastAsia="zh-CN"/>
              </w:rPr>
              <w:t>质量管理</w:t>
            </w:r>
            <w:r>
              <w:rPr>
                <w:rFonts w:hint="eastAsia" w:ascii="宋体" w:hAnsi="宋体" w:cs="宋体"/>
                <w:color w:val="000000" w:themeColor="text1"/>
              </w:rPr>
              <w:t>体系</w:t>
            </w:r>
            <w:r>
              <w:rPr>
                <w:rFonts w:hint="eastAsia" w:ascii="宋体" w:hAnsi="宋体" w:cs="宋体"/>
                <w:color w:val="000000" w:themeColor="text1"/>
                <w:lang w:eastAsia="zh-CN"/>
              </w:rPr>
              <w:t>文件</w:t>
            </w:r>
            <w:r>
              <w:rPr>
                <w:rFonts w:hint="eastAsia" w:ascii="宋体" w:hAnsi="宋体" w:cs="宋体"/>
                <w:color w:val="000000" w:themeColor="text1"/>
              </w:rPr>
              <w:t>，体系文件对管理体系各过程进行了识别确定、明确了各要素间的相互关系及其管控要求。公司体系文件于</w:t>
            </w:r>
            <w:r>
              <w:rPr>
                <w:rFonts w:hint="eastAsia" w:ascii="宋体" w:hAnsi="宋体" w:cs="Arial"/>
                <w:color w:val="000000" w:themeColor="text1"/>
              </w:rPr>
              <w:t>20</w:t>
            </w:r>
            <w:r>
              <w:rPr>
                <w:rFonts w:hint="eastAsia" w:ascii="宋体" w:hAnsi="宋体" w:cs="Arial"/>
                <w:color w:val="000000" w:themeColor="text1"/>
                <w:lang w:val="en-US" w:eastAsia="zh-CN"/>
              </w:rPr>
              <w:t>19</w:t>
            </w:r>
            <w:r>
              <w:rPr>
                <w:rFonts w:hint="eastAsia" w:ascii="宋体" w:hAnsi="宋体" w:cs="宋体"/>
                <w:color w:val="000000" w:themeColor="text1"/>
              </w:rPr>
              <w:t>年</w:t>
            </w:r>
            <w:r>
              <w:rPr>
                <w:rFonts w:hint="eastAsia" w:ascii="宋体" w:hAnsi="宋体" w:cs="宋体"/>
                <w:color w:val="000000" w:themeColor="text1"/>
                <w:lang w:val="en-US" w:eastAsia="zh-CN"/>
              </w:rPr>
              <w:t>9</w:t>
            </w:r>
            <w:r>
              <w:rPr>
                <w:rFonts w:hint="eastAsia" w:ascii="宋体" w:hAnsi="宋体" w:cs="宋体"/>
                <w:color w:val="000000" w:themeColor="text1"/>
              </w:rPr>
              <w:t>月</w:t>
            </w:r>
            <w:r>
              <w:rPr>
                <w:rFonts w:hint="eastAsia" w:ascii="宋体" w:hAnsi="宋体" w:cs="宋体"/>
                <w:color w:val="000000" w:themeColor="text1"/>
                <w:lang w:val="en-US" w:eastAsia="zh-CN"/>
              </w:rPr>
              <w:t>20</w:t>
            </w:r>
            <w:r>
              <w:rPr>
                <w:rFonts w:hint="eastAsia" w:ascii="宋体" w:hAnsi="宋体" w:cs="宋体"/>
                <w:color w:val="000000" w:themeColor="text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tabs>
                <w:tab w:val="left" w:pos="2552"/>
              </w:tabs>
              <w:spacing w:line="0" w:lineRule="atLeast"/>
              <w:ind w:firstLine="420" w:firstLineChars="200"/>
              <w:rPr>
                <w:rFonts w:ascii="宋体" w:hAnsi="宋体"/>
                <w:bCs/>
                <w:iCs/>
                <w:szCs w:val="22"/>
              </w:rPr>
            </w:pPr>
            <w:r>
              <w:rPr>
                <w:rFonts w:hint="eastAsia" w:ascii="宋体" w:hAnsi="宋体"/>
                <w:bCs/>
                <w:iCs/>
              </w:rPr>
              <w:t>组</w:t>
            </w:r>
            <w:r>
              <w:rPr>
                <w:rFonts w:hint="eastAsia" w:ascii="宋体" w:hAnsi="宋体"/>
                <w:bCs/>
                <w:iCs/>
                <w:szCs w:val="22"/>
              </w:rPr>
              <w:t>织按管理体系需求配置了充足的人员、设施、监视和测量设备等资源，并建立维持了</w:t>
            </w:r>
            <w:r>
              <w:rPr>
                <w:rFonts w:hint="eastAsia" w:ascii="宋体" w:hAnsi="宋体"/>
                <w:szCs w:val="21"/>
                <w:lang w:eastAsia="zh-CN"/>
              </w:rPr>
              <w:t>产品</w:t>
            </w:r>
            <w:r>
              <w:rPr>
                <w:rFonts w:hint="eastAsia" w:ascii="宋体" w:hAnsi="宋体"/>
                <w:szCs w:val="21"/>
              </w:rPr>
              <w:t>的生产</w:t>
            </w:r>
            <w:r>
              <w:rPr>
                <w:rFonts w:hint="eastAsia" w:ascii="宋体" w:hAnsi="宋体"/>
                <w:bCs/>
                <w:iCs/>
                <w:szCs w:val="22"/>
              </w:rPr>
              <w:t>及相关服务运行环境，可以维持管理体系的正常运行。</w:t>
            </w:r>
          </w:p>
          <w:p>
            <w:pPr>
              <w:spacing w:line="300" w:lineRule="exact"/>
              <w:rPr>
                <w:rFonts w:ascii="宋体" w:hAnsi="宋体"/>
                <w:b/>
                <w:color w:val="000000" w:themeColor="text1"/>
                <w:sz w:val="20"/>
                <w:szCs w:val="20"/>
              </w:rPr>
            </w:pPr>
            <w:r>
              <w:rPr>
                <w:rFonts w:hint="eastAsia" w:ascii="宋体" w:hAnsi="宋体"/>
                <w:bCs/>
                <w:iCs/>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300" w:lineRule="exact"/>
              <w:rPr>
                <w:rFonts w:hint="eastAsia" w:ascii="宋体" w:hAnsi="宋体" w:eastAsia="宋体"/>
                <w:b/>
                <w:color w:val="000000" w:themeColor="text1"/>
                <w:sz w:val="20"/>
                <w:szCs w:val="20"/>
                <w:lang w:eastAsia="zh-CN"/>
              </w:rPr>
            </w:pPr>
            <w:r>
              <w:rPr>
                <w:rFonts w:hint="eastAsia" w:ascii="宋体" w:hAnsi="宋体"/>
                <w:b/>
                <w:color w:val="000000" w:themeColor="text1"/>
                <w:sz w:val="20"/>
                <w:szCs w:val="20"/>
              </w:rPr>
              <w:t>设备设施（包括信息系统）</w:t>
            </w:r>
            <w:r>
              <w:rPr>
                <w:rFonts w:hint="eastAsia" w:ascii="宋体" w:hAnsi="宋体"/>
                <w:b/>
                <w:color w:val="000000" w:themeColor="text1"/>
                <w:sz w:val="20"/>
                <w:szCs w:val="20"/>
                <w:lang w:eastAsia="zh-CN"/>
              </w:rPr>
              <w:t>：</w:t>
            </w:r>
          </w:p>
          <w:p>
            <w:pPr>
              <w:tabs>
                <w:tab w:val="left" w:pos="2552"/>
              </w:tabs>
              <w:spacing w:line="0" w:lineRule="atLeast"/>
              <w:ind w:firstLine="420" w:firstLineChars="200"/>
              <w:rPr>
                <w:rFonts w:ascii="宋体" w:hAnsi="宋体"/>
                <w:b/>
                <w:color w:val="000000" w:themeColor="text1"/>
                <w:sz w:val="20"/>
                <w:szCs w:val="20"/>
                <w:highlight w:val="none"/>
              </w:rPr>
            </w:pPr>
            <w:r>
              <w:rPr>
                <w:rFonts w:hint="eastAsia"/>
                <w:sz w:val="21"/>
                <w:szCs w:val="21"/>
                <w:lang w:eastAsia="zh-CN"/>
              </w:rPr>
              <w:t>重庆市璧山区正兴金属有限公司,</w:t>
            </w:r>
            <w:r>
              <w:rPr>
                <w:rFonts w:hint="eastAsia"/>
                <w:sz w:val="21"/>
                <w:szCs w:val="21"/>
                <w:lang w:val="en-US" w:eastAsia="zh-CN"/>
              </w:rPr>
              <w:t>1994</w:t>
            </w:r>
            <w:r>
              <w:rPr>
                <w:rFonts w:hint="eastAsia"/>
                <w:sz w:val="21"/>
                <w:szCs w:val="21"/>
                <w:lang w:eastAsia="zh-CN"/>
              </w:rPr>
              <w:t>年0</w:t>
            </w:r>
            <w:r>
              <w:rPr>
                <w:rFonts w:hint="eastAsia"/>
                <w:sz w:val="21"/>
                <w:szCs w:val="21"/>
                <w:lang w:val="en-US" w:eastAsia="zh-CN"/>
              </w:rPr>
              <w:t>8</w:t>
            </w:r>
            <w:r>
              <w:rPr>
                <w:rFonts w:hint="eastAsia"/>
                <w:sz w:val="21"/>
                <w:szCs w:val="21"/>
                <w:lang w:eastAsia="zh-CN"/>
              </w:rPr>
              <w:t>月2</w:t>
            </w:r>
            <w:r>
              <w:rPr>
                <w:rFonts w:hint="eastAsia"/>
                <w:sz w:val="21"/>
                <w:szCs w:val="21"/>
                <w:lang w:val="en-US" w:eastAsia="zh-CN"/>
              </w:rPr>
              <w:t>9</w:t>
            </w:r>
            <w:r>
              <w:rPr>
                <w:rFonts w:hint="eastAsia"/>
                <w:sz w:val="21"/>
                <w:szCs w:val="21"/>
                <w:lang w:eastAsia="zh-CN"/>
              </w:rPr>
              <w:t>日成立，</w:t>
            </w:r>
            <w:r>
              <w:rPr>
                <w:rFonts w:hint="eastAsia" w:ascii="宋体" w:hAnsi="宋体"/>
                <w:bCs/>
                <w:iCs/>
                <w:szCs w:val="22"/>
                <w:highlight w:val="none"/>
                <w:lang w:val="en-US" w:eastAsia="zh-CN"/>
              </w:rPr>
              <w:t>公司位于</w:t>
            </w:r>
            <w:bookmarkStart w:id="21" w:name="生产地址"/>
            <w:r>
              <w:t>重庆市璧山区来凤街道来凤村10组</w:t>
            </w:r>
            <w:bookmarkEnd w:id="21"/>
            <w:r>
              <w:rPr>
                <w:rFonts w:hint="eastAsia" w:ascii="宋体" w:hAnsi="宋体"/>
                <w:bCs/>
                <w:iCs/>
                <w:szCs w:val="22"/>
                <w:highlight w:val="none"/>
                <w:lang w:val="en-US" w:eastAsia="zh-CN"/>
              </w:rPr>
              <w:t>主要生产设备包括：热压机、冷压机、重砂机、推台锯、空压机、封边机、砂光机等。特种设备：无，</w:t>
            </w:r>
            <w:r>
              <w:rPr>
                <w:rFonts w:hint="eastAsia" w:ascii="宋体" w:hAnsi="宋体" w:eastAsia="宋体" w:cs="宋体"/>
                <w:szCs w:val="21"/>
              </w:rPr>
              <w:t>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ind w:firstLine="420" w:firstLineChars="200"/>
              <w:rPr>
                <w:rFonts w:ascii="宋体" w:hAnsi="宋体"/>
                <w:b/>
                <w:color w:val="000000" w:themeColor="text1"/>
                <w:sz w:val="20"/>
                <w:szCs w:val="20"/>
              </w:rPr>
            </w:pPr>
            <w:r>
              <w:rPr>
                <w:rFonts w:hint="eastAsia" w:ascii="宋体" w:hAnsi="宋体" w:cs="宋体"/>
                <w:szCs w:val="21"/>
              </w:rPr>
              <w:t>车间内设备布置合理，通道畅通，照明设施齐全，均配备了消防设施等设施。办公室明亮，作业场所光线较充足。每月由生产部对工作环境进行定期检查。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firstLine="402" w:firstLineChars="200"/>
              <w:rPr>
                <w:rFonts w:hint="eastAsia" w:ascii="宋体" w:hAnsi="宋体" w:cs="宋体"/>
                <w:color w:val="000000"/>
                <w:szCs w:val="21"/>
                <w:highlight w:val="none"/>
              </w:rPr>
            </w:pPr>
            <w:r>
              <w:rPr>
                <w:rFonts w:hint="eastAsia" w:ascii="宋体" w:hAnsi="宋体"/>
                <w:b/>
                <w:color w:val="000000" w:themeColor="text1"/>
                <w:sz w:val="20"/>
                <w:szCs w:val="20"/>
                <w:highlight w:val="none"/>
              </w:rPr>
              <w:t>监视和测量资源</w:t>
            </w:r>
          </w:p>
          <w:p>
            <w:pPr>
              <w:spacing w:line="240" w:lineRule="exact"/>
              <w:ind w:firstLine="420" w:firstLineChars="200"/>
              <w:rPr>
                <w:rFonts w:ascii="宋体" w:hAnsi="宋体"/>
                <w:b/>
                <w:color w:val="000000" w:themeColor="text1"/>
                <w:sz w:val="20"/>
                <w:szCs w:val="20"/>
                <w:highlight w:val="none"/>
              </w:rPr>
            </w:pPr>
            <w:r>
              <w:rPr>
                <w:rFonts w:hint="eastAsia" w:ascii="宋体" w:hAnsi="宋体" w:cs="宋体"/>
                <w:color w:val="000000"/>
                <w:szCs w:val="21"/>
                <w:highlight w:val="none"/>
              </w:rPr>
              <w:t>生产车间及检验部门均按策划的要求配置了相应的检测设备，均采用委外送检的方式。抽在用检具的检定或校准证书</w:t>
            </w:r>
            <w:r>
              <w:rPr>
                <w:rFonts w:hint="eastAsia" w:ascii="宋体" w:hAnsi="宋体" w:cs="宋体"/>
                <w:color w:val="000000"/>
                <w:szCs w:val="21"/>
                <w:highlight w:val="none"/>
                <w:lang w:val="en-US" w:eastAsia="zh-CN"/>
              </w:rPr>
              <w:t>不</w:t>
            </w:r>
            <w:r>
              <w:rPr>
                <w:rFonts w:hint="eastAsia" w:ascii="宋体" w:hAnsi="宋体" w:cs="宋体"/>
                <w:color w:val="000000"/>
                <w:szCs w:val="21"/>
                <w:highlight w:val="none"/>
              </w:rPr>
              <w:t>能提供在用检具的有效检定或校准证据。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400" w:lineRule="exact"/>
              <w:ind w:firstLine="315" w:firstLineChars="150"/>
              <w:rPr>
                <w:rFonts w:hint="eastAsia" w:ascii="宋体" w:hAnsi="宋体" w:cs="宋体"/>
                <w:color w:val="000000"/>
                <w:szCs w:val="21"/>
              </w:rPr>
            </w:pPr>
            <w:r>
              <w:rPr>
                <w:rFonts w:hint="eastAsia" w:ascii="宋体" w:hAnsi="宋体" w:cs="宋体"/>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400" w:lineRule="exact"/>
              <w:ind w:firstLine="315" w:firstLineChars="150"/>
              <w:rPr>
                <w:rFonts w:ascii="宋体" w:hAnsi="宋体"/>
                <w:b/>
                <w:color w:val="000000" w:themeColor="text1"/>
                <w:sz w:val="20"/>
                <w:szCs w:val="20"/>
              </w:rPr>
            </w:pPr>
            <w:r>
              <w:rPr>
                <w:rFonts w:hint="eastAsia" w:ascii="宋体" w:hAnsi="宋体" w:cs="宋体"/>
                <w:color w:val="000000"/>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环保设施：</w:t>
            </w:r>
          </w:p>
          <w:p>
            <w:pPr>
              <w:spacing w:line="240" w:lineRule="exact"/>
              <w:rPr>
                <w:rFonts w:hint="eastAsia" w:ascii="宋体" w:hAnsi="宋体" w:eastAsia="宋体"/>
                <w:color w:val="FF0000"/>
                <w:sz w:val="20"/>
                <w:szCs w:val="20"/>
                <w:lang w:val="en-US" w:eastAsia="zh-CN"/>
              </w:rPr>
            </w:pPr>
            <w:r>
              <w:rPr>
                <w:rFonts w:hint="eastAsia" w:ascii="宋体" w:hAnsi="宋体"/>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职业健康安全设施：</w:t>
            </w:r>
          </w:p>
          <w:p>
            <w:pPr>
              <w:spacing w:line="240" w:lineRule="exact"/>
              <w:rPr>
                <w:rFonts w:hint="eastAsia" w:ascii="宋体" w:hAnsi="宋体" w:eastAsia="宋体"/>
                <w:color w:val="FF0000"/>
                <w:sz w:val="20"/>
                <w:szCs w:val="20"/>
                <w:lang w:val="en-US" w:eastAsia="zh-CN"/>
              </w:rPr>
            </w:pPr>
            <w:r>
              <w:rPr>
                <w:rFonts w:hint="eastAsia" w:ascii="宋体" w:hAnsi="宋体"/>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6" w:hRule="atLeast"/>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firstLine="420" w:firstLineChars="200"/>
              <w:rPr>
                <w:b/>
                <w:color w:val="000000" w:themeColor="text1"/>
                <w:sz w:val="20"/>
                <w:szCs w:val="20"/>
              </w:rPr>
            </w:pPr>
            <w:r>
              <w:rPr>
                <w:rFonts w:hint="eastAsia" w:ascii="宋体" w:hAnsi="宋体" w:cs="宋体"/>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cs="宋体"/>
                <w:color w:val="000000"/>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000000" w:themeColor="text1"/>
                <w:sz w:val="20"/>
                <w:szCs w:val="20"/>
              </w:rPr>
            </w:pPr>
            <w:r>
              <w:rPr>
                <w:rFonts w:hint="eastAsia" w:ascii="宋体" w:hAnsi="宋体" w:cs="宋体"/>
                <w:color w:val="000000"/>
                <w:szCs w:val="21"/>
              </w:rPr>
              <w:t>内部沟通的效果：良好</w:t>
            </w:r>
          </w:p>
          <w:p>
            <w:pPr>
              <w:spacing w:line="240" w:lineRule="exact"/>
              <w:rPr>
                <w:rFonts w:ascii="楷体_GB2312" w:eastAsia="楷体_GB2312"/>
                <w:b/>
                <w:color w:val="000000" w:themeColor="text1"/>
                <w:sz w:val="20"/>
                <w:szCs w:val="20"/>
              </w:rPr>
            </w:pPr>
          </w:p>
          <w:p>
            <w:pPr>
              <w:spacing w:line="240" w:lineRule="exact"/>
              <w:rPr>
                <w:rFonts w:hint="eastAsia" w:ascii="宋体" w:hAnsi="宋体" w:cs="宋体"/>
                <w:color w:val="000000"/>
                <w:szCs w:val="21"/>
              </w:rPr>
            </w:pPr>
            <w:r>
              <w:rPr>
                <w:rFonts w:hint="eastAsia" w:ascii="楷体_GB2312" w:eastAsia="楷体_GB2312"/>
                <w:b/>
                <w:color w:val="000000" w:themeColor="text1"/>
                <w:sz w:val="20"/>
                <w:szCs w:val="20"/>
              </w:rPr>
              <w:t>组织对外联络，关注顾客的感受情况（QMS）：</w:t>
            </w:r>
            <w:r>
              <w:rPr>
                <w:rFonts w:hint="eastAsia" w:ascii="宋体" w:hAnsi="宋体" w:cs="宋体"/>
                <w:color w:val="000000"/>
                <w:szCs w:val="21"/>
              </w:rPr>
              <w:t>采取顾客满意度调查方式了解顾客感受。</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重要环境因素信息对外交流情况（EMS填写）：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 w:val="20"/>
                <w:szCs w:val="20"/>
              </w:rPr>
              <w:t>OHSMS事务代表协商和交流的情况（OHSMS填写）：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5" w:hRule="atLeast"/>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ind w:firstLine="420" w:firstLineChars="200"/>
              <w:rPr>
                <w:b/>
                <w:color w:val="000000" w:themeColor="text1"/>
                <w:sz w:val="20"/>
                <w:szCs w:val="20"/>
              </w:rPr>
            </w:pPr>
            <w:r>
              <w:rPr>
                <w:rFonts w:hint="eastAsia" w:ascii="宋体" w:hAnsi="宋体" w:cs="宋体"/>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w:t>
            </w:r>
            <w:r>
              <w:rPr>
                <w:b/>
                <w:color w:val="000000" w:themeColor="text1"/>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ind w:firstLine="420" w:firstLineChars="200"/>
              <w:rPr>
                <w:rFonts w:hint="eastAsia" w:ascii="宋体" w:hAnsi="宋体" w:cs="宋体"/>
                <w:color w:val="000000"/>
                <w:szCs w:val="21"/>
              </w:rPr>
            </w:pPr>
            <w:r>
              <w:rPr>
                <w:rFonts w:hint="eastAsia" w:ascii="宋体" w:hAnsi="宋体" w:cs="宋体"/>
                <w:color w:val="000000"/>
                <w:szCs w:val="21"/>
              </w:rPr>
              <w:t>制定并实施了产品检验控制规定，规定了公司各管理层次和品质检测部门在各阶段对产品服务质量实施检查与验收的管理要求。内容基本具备全面性、系统性及可操作性。质量检查与验收均在出厂前予以实现，范围包括：过程、最终产品。以此保证持续向顾客稳定提供稳定合格的产品。</w:t>
            </w:r>
          </w:p>
          <w:p>
            <w:pPr>
              <w:spacing w:line="240" w:lineRule="exact"/>
              <w:rPr>
                <w:b/>
                <w:color w:val="000000" w:themeColor="text1"/>
                <w:sz w:val="20"/>
                <w:szCs w:val="20"/>
              </w:rPr>
            </w:pPr>
            <w:r>
              <w:rPr>
                <w:rFonts w:hint="eastAsia"/>
                <w:b/>
                <w:color w:val="000000" w:themeColor="text1"/>
                <w:sz w:val="20"/>
                <w:szCs w:val="20"/>
              </w:rPr>
              <w:t>(应说明相关证据)：</w:t>
            </w:r>
            <w:r>
              <w:rPr>
                <w:rFonts w:hint="eastAsia"/>
                <w:color w:val="000000" w:themeColor="text1"/>
                <w:sz w:val="20"/>
                <w:szCs w:val="20"/>
              </w:rPr>
              <w:t>验收规范、验收</w:t>
            </w:r>
            <w:r>
              <w:rPr>
                <w:rFonts w:hint="eastAsia"/>
                <w:color w:val="000000" w:themeColor="text1"/>
                <w:sz w:val="20"/>
                <w:szCs w:val="20"/>
                <w:lang w:eastAsia="zh-CN"/>
              </w:rPr>
              <w:t>记录</w:t>
            </w:r>
            <w:r>
              <w:rPr>
                <w:rFonts w:hint="eastAsia"/>
                <w:color w:val="000000" w:themeColor="text1"/>
                <w:sz w:val="20"/>
                <w:szCs w:val="20"/>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420" w:firstLineChars="200"/>
              <w:rPr>
                <w:rFonts w:hint="eastAsia" w:ascii="宋体" w:hAnsi="宋体" w:cs="宋体"/>
                <w:color w:val="000000" w:themeColor="text1"/>
                <w:szCs w:val="21"/>
                <w:lang w:eastAsia="zh-CN"/>
              </w:rPr>
            </w:pPr>
            <w:r>
              <w:rPr>
                <w:rFonts w:hint="eastAsia" w:ascii="宋体" w:hAnsi="宋体" w:cs="宋体"/>
                <w:color w:val="000000" w:themeColor="text1"/>
                <w:szCs w:val="21"/>
                <w:lang w:eastAsia="zh-CN"/>
              </w:rPr>
              <w:t>无</w:t>
            </w:r>
          </w:p>
          <w:p>
            <w:pPr>
              <w:spacing w:line="240" w:lineRule="exact"/>
              <w:ind w:firstLine="402" w:firstLineChars="200"/>
              <w:rPr>
                <w:b/>
                <w:color w:val="000000" w:themeColor="text1"/>
                <w:sz w:val="20"/>
                <w:szCs w:val="20"/>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ind w:firstLine="420" w:firstLineChars="200"/>
              <w:rPr>
                <w:b/>
                <w:color w:val="000000" w:themeColor="text1"/>
                <w:sz w:val="20"/>
                <w:szCs w:val="20"/>
              </w:rPr>
            </w:pPr>
            <w:r>
              <w:rPr>
                <w:rFonts w:hint="eastAsia" w:ascii="宋体" w:hAnsi="宋体" w:cs="宋体"/>
                <w:color w:val="000000"/>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rFonts w:hint="default" w:eastAsia="宋体"/>
                <w:b/>
                <w:color w:val="000000" w:themeColor="text1"/>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 w:hRule="atLeast"/>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rFonts w:hint="eastAsia"/>
                <w:b/>
                <w:color w:val="000000" w:themeColor="text1"/>
                <w:sz w:val="20"/>
                <w:szCs w:val="20"/>
              </w:rPr>
            </w:pPr>
            <w:r>
              <w:rPr>
                <w:rFonts w:hint="eastAsia"/>
                <w:b/>
                <w:color w:val="000000" w:themeColor="text1"/>
                <w:sz w:val="20"/>
                <w:szCs w:val="20"/>
              </w:rPr>
              <w:t>8. OHS 组织对不可接受风险实施控制的结果</w:t>
            </w: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highlight w:val="none"/>
              </w:rPr>
            </w:pPr>
            <w:r>
              <w:rPr>
                <w:rFonts w:hint="eastAsia"/>
                <w:b/>
                <w:color w:val="000000" w:themeColor="text1"/>
                <w:sz w:val="20"/>
                <w:szCs w:val="20"/>
                <w:highlight w:val="none"/>
              </w:rPr>
              <w:t xml:space="preserve">9. 应急准备与相应活动的演练及对预案可行性的评价(当有规定时) </w:t>
            </w:r>
          </w:p>
          <w:p>
            <w:pPr>
              <w:spacing w:line="240" w:lineRule="exact"/>
              <w:rPr>
                <w:rFonts w:hint="eastAsia" w:asciiTheme="minorEastAsia" w:hAnsiTheme="minorEastAsia" w:eastAsiaTheme="minorEastAsia"/>
                <w:b/>
                <w:color w:val="000000" w:themeColor="text1"/>
                <w:spacing w:val="-4"/>
                <w:sz w:val="20"/>
                <w:szCs w:val="20"/>
                <w:highlight w:val="none"/>
                <w:lang w:val="en-US" w:eastAsia="zh-CN"/>
              </w:rPr>
            </w:pPr>
            <w:r>
              <w:rPr>
                <w:rFonts w:hint="eastAsia" w:asciiTheme="minorEastAsia" w:hAnsiTheme="minorEastAsia" w:eastAsiaTheme="minorEastAsia"/>
                <w:b/>
                <w:color w:val="000000" w:themeColor="text1"/>
                <w:spacing w:val="-4"/>
                <w:sz w:val="20"/>
                <w:szCs w:val="20"/>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highlight w:val="none"/>
              </w:rPr>
            </w:pPr>
            <w:r>
              <w:rPr>
                <w:rFonts w:hint="eastAsia"/>
                <w:b/>
                <w:color w:val="000000" w:themeColor="text1"/>
                <w:sz w:val="20"/>
                <w:szCs w:val="20"/>
                <w:highlight w:val="none"/>
              </w:rPr>
              <w:t xml:space="preserve">10. 对特种设备的维护; </w:t>
            </w:r>
            <w:r>
              <w:rPr>
                <w:rFonts w:hint="eastAsia"/>
                <w:b/>
                <w:sz w:val="20"/>
                <w:szCs w:val="20"/>
                <w:highlight w:val="none"/>
              </w:rPr>
              <w:t>（适用时）</w:t>
            </w:r>
          </w:p>
          <w:p>
            <w:pPr>
              <w:ind w:left="210" w:leftChars="100" w:firstLine="100" w:firstLineChars="50"/>
              <w:jc w:val="left"/>
              <w:rPr>
                <w:rFonts w:hint="default" w:eastAsia="宋体"/>
                <w:b/>
                <w:color w:val="000000" w:themeColor="text1"/>
                <w:sz w:val="20"/>
                <w:szCs w:val="20"/>
                <w:highlight w:val="none"/>
                <w:lang w:val="en-US" w:eastAsia="zh-CN"/>
              </w:rPr>
            </w:pPr>
            <w:r>
              <w:rPr>
                <w:rFonts w:hint="eastAsia"/>
                <w:b/>
                <w:sz w:val="20"/>
                <w:szCs w:val="20"/>
                <w:highlight w:val="none"/>
              </w:rPr>
              <w:t>特种设备</w:t>
            </w:r>
            <w:r>
              <w:rPr>
                <w:rFonts w:hint="eastAsia"/>
                <w:b/>
                <w:sz w:val="20"/>
                <w:szCs w:val="20"/>
                <w:highlight w:val="none"/>
                <w:lang w:eastAsia="zh-CN"/>
              </w:rPr>
              <w:t>：</w:t>
            </w:r>
            <w:r>
              <w:rPr>
                <w:rFonts w:hint="eastAsia"/>
                <w:b/>
                <w:sz w:val="20"/>
                <w:szCs w:val="20"/>
                <w:highlight w:val="none"/>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rFonts w:hint="eastAsia"/>
                <w:b/>
                <w:sz w:val="20"/>
                <w:szCs w:val="20"/>
              </w:rPr>
            </w:pPr>
            <w:r>
              <w:rPr>
                <w:rFonts w:hint="eastAsia"/>
                <w:b/>
                <w:color w:val="000000" w:themeColor="text1"/>
                <w:sz w:val="20"/>
                <w:szCs w:val="20"/>
              </w:rPr>
              <w:t>11 .对危险化学品销售、使用、储存、运输处置，规定的执行力度(必要时);</w:t>
            </w:r>
            <w:r>
              <w:rPr>
                <w:rFonts w:hint="eastAsia"/>
                <w:b/>
                <w:color w:val="FF0000"/>
                <w:sz w:val="20"/>
                <w:szCs w:val="20"/>
              </w:rPr>
              <w:t xml:space="preserve"> </w:t>
            </w:r>
            <w:r>
              <w:rPr>
                <w:rFonts w:hint="eastAsia"/>
                <w:b/>
                <w:sz w:val="20"/>
                <w:szCs w:val="20"/>
              </w:rPr>
              <w:t>（适用时）</w:t>
            </w:r>
          </w:p>
          <w:p>
            <w:pPr>
              <w:spacing w:line="240" w:lineRule="exact"/>
              <w:rPr>
                <w:rFonts w:hint="eastAsia" w:eastAsia="宋体"/>
                <w:color w:val="FF0000"/>
                <w:sz w:val="20"/>
                <w:szCs w:val="20"/>
                <w:lang w:val="en-US" w:eastAsia="zh-CN"/>
              </w:rPr>
            </w:pPr>
            <w:r>
              <w:rPr>
                <w:rFonts w:hint="eastAsia" w:asciiTheme="minorEastAsia" w:hAnsiTheme="minorEastAsia" w:eastAsiaTheme="minorEastAsia"/>
                <w:b/>
                <w:color w:val="000000" w:themeColor="text1"/>
                <w:spacing w:val="-4"/>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5" w:hRule="atLeast"/>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r>
              <w:rPr>
                <w:rFonts w:hint="eastAsia"/>
                <w:b/>
                <w:sz w:val="20"/>
                <w:szCs w:val="20"/>
              </w:rPr>
              <w:t>（适用时）</w:t>
            </w:r>
          </w:p>
          <w:p>
            <w:pPr>
              <w:spacing w:line="240" w:lineRule="exact"/>
              <w:ind w:firstLine="525" w:firstLineChars="250"/>
              <w:rPr>
                <w:b/>
                <w:color w:val="000000" w:themeColor="text1"/>
                <w:sz w:val="20"/>
                <w:szCs w:val="20"/>
              </w:rPr>
            </w:pPr>
            <w:r>
              <w:rPr>
                <w:rFonts w:hint="eastAsia" w:ascii="宋体" w:hAnsi="宋体" w:cs="宋体"/>
                <w:color w:val="00000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20</w:t>
            </w:r>
            <w:r>
              <w:rPr>
                <w:rFonts w:hint="eastAsia" w:ascii="宋体" w:hAnsi="宋体" w:cs="宋体"/>
                <w:color w:val="000000"/>
                <w:szCs w:val="21"/>
                <w:lang w:val="en-US" w:eastAsia="zh-CN"/>
              </w:rPr>
              <w:t>20</w:t>
            </w:r>
            <w:r>
              <w:rPr>
                <w:rFonts w:hint="eastAsia" w:ascii="宋体" w:hAnsi="宋体" w:cs="宋体"/>
                <w:color w:val="000000"/>
                <w:szCs w:val="21"/>
              </w:rPr>
              <w:t>年</w:t>
            </w:r>
            <w:r>
              <w:rPr>
                <w:rFonts w:hint="eastAsia" w:ascii="宋体" w:hAnsi="宋体" w:cs="宋体"/>
                <w:color w:val="000000"/>
                <w:szCs w:val="21"/>
                <w:lang w:val="en-US" w:eastAsia="zh-CN"/>
              </w:rPr>
              <w:t>1</w:t>
            </w:r>
            <w:r>
              <w:rPr>
                <w:rFonts w:hint="eastAsia" w:ascii="宋体" w:hAnsi="宋体" w:cs="宋体"/>
                <w:color w:val="000000"/>
                <w:szCs w:val="21"/>
              </w:rPr>
              <w:t>-</w:t>
            </w:r>
            <w:r>
              <w:rPr>
                <w:rFonts w:hint="eastAsia" w:ascii="宋体" w:hAnsi="宋体" w:cs="宋体"/>
                <w:color w:val="000000"/>
                <w:szCs w:val="21"/>
                <w:lang w:val="en-US" w:eastAsia="zh-CN"/>
              </w:rPr>
              <w:t>6</w:t>
            </w:r>
            <w:r>
              <w:rPr>
                <w:rFonts w:hint="eastAsia" w:ascii="宋体" w:hAnsi="宋体" w:cs="宋体"/>
                <w:color w:val="000000"/>
                <w:szCs w:val="21"/>
              </w:rPr>
              <w:t>月目标的测量，总体已达到或超过了规定的目标值。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rFonts w:hint="eastAsia"/>
                <w:b/>
                <w:color w:val="000000" w:themeColor="text1"/>
                <w:sz w:val="20"/>
                <w:szCs w:val="20"/>
                <w:highlight w:val="none"/>
              </w:rPr>
            </w:pPr>
            <w:r>
              <w:rPr>
                <w:rFonts w:hint="eastAsia"/>
                <w:b/>
                <w:color w:val="000000" w:themeColor="text1"/>
                <w:sz w:val="20"/>
                <w:szCs w:val="20"/>
                <w:highlight w:val="none"/>
              </w:rPr>
              <w:t>2.顾客满意</w:t>
            </w:r>
          </w:p>
          <w:p>
            <w:pPr>
              <w:spacing w:line="240" w:lineRule="exact"/>
              <w:ind w:left="105" w:leftChars="50" w:firstLine="315" w:firstLineChars="150"/>
              <w:rPr>
                <w:b/>
                <w:color w:val="000000" w:themeColor="text1"/>
                <w:sz w:val="20"/>
                <w:szCs w:val="20"/>
                <w:highlight w:val="none"/>
              </w:rPr>
            </w:pPr>
            <w:r>
              <w:rPr>
                <w:rFonts w:hint="eastAsia" w:ascii="宋体" w:hAnsi="宋体" w:cs="宋体"/>
                <w:color w:val="000000"/>
                <w:szCs w:val="21"/>
                <w:highlight w:val="none"/>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20</w:t>
            </w:r>
            <w:r>
              <w:rPr>
                <w:rFonts w:hint="eastAsia" w:ascii="宋体" w:hAnsi="宋体" w:cs="宋体"/>
                <w:color w:val="000000"/>
                <w:szCs w:val="21"/>
                <w:highlight w:val="none"/>
                <w:lang w:val="en-US" w:eastAsia="zh-CN"/>
              </w:rPr>
              <w:t>19</w:t>
            </w:r>
            <w:r>
              <w:rPr>
                <w:rFonts w:hint="eastAsia" w:ascii="宋体" w:hAnsi="宋体" w:cs="宋体"/>
                <w:color w:val="000000"/>
                <w:szCs w:val="21"/>
                <w:highlight w:val="none"/>
              </w:rPr>
              <w:t>年</w:t>
            </w:r>
            <w:r>
              <w:rPr>
                <w:rFonts w:hint="eastAsia" w:ascii="宋体" w:hAnsi="宋体" w:cs="宋体"/>
                <w:color w:val="000000"/>
                <w:szCs w:val="21"/>
                <w:highlight w:val="none"/>
                <w:lang w:val="en-US" w:eastAsia="zh-CN"/>
              </w:rPr>
              <w:t>12</w:t>
            </w:r>
            <w:r>
              <w:rPr>
                <w:rFonts w:hint="eastAsia" w:ascii="宋体" w:hAnsi="宋体" w:cs="宋体"/>
                <w:color w:val="000000"/>
                <w:szCs w:val="21"/>
                <w:highlight w:val="none"/>
              </w:rPr>
              <w:t>月实施，满意度评价</w:t>
            </w:r>
            <w:r>
              <w:rPr>
                <w:rFonts w:hint="eastAsia" w:ascii="宋体" w:hAnsi="宋体" w:cs="宋体"/>
                <w:color w:val="000000"/>
                <w:szCs w:val="21"/>
                <w:highlight w:val="none"/>
                <w:lang w:val="en-US" w:eastAsia="zh-CN"/>
              </w:rPr>
              <w:t>98%</w:t>
            </w:r>
            <w:r>
              <w:rPr>
                <w:rFonts w:hint="eastAsia" w:ascii="宋体" w:hAnsi="宋体" w:cs="宋体"/>
                <w:color w:val="000000"/>
                <w:szCs w:val="21"/>
                <w:highlight w:val="none"/>
              </w:rPr>
              <w:t>，总体实现了顾客满意度的质量目标要求。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3" w:hRule="atLeast"/>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ind w:left="105" w:leftChars="50" w:firstLine="301" w:firstLineChars="150"/>
              <w:rPr>
                <w:rFonts w:hint="eastAsia" w:ascii="宋体" w:hAnsi="宋体" w:cs="宋体"/>
                <w:color w:val="000000"/>
                <w:szCs w:val="21"/>
                <w:highlight w:val="none"/>
              </w:rPr>
            </w:pPr>
            <w:r>
              <w:rPr>
                <w:rFonts w:hint="eastAsia"/>
                <w:b/>
                <w:color w:val="000000" w:themeColor="text1"/>
                <w:sz w:val="20"/>
                <w:szCs w:val="20"/>
              </w:rPr>
              <w:t>3. 内审（包括内审策划审核方案中考</w:t>
            </w:r>
            <w:r>
              <w:rPr>
                <w:rFonts w:hint="eastAsia" w:ascii="宋体" w:hAnsi="宋体" w:cs="宋体"/>
                <w:color w:val="000000"/>
                <w:szCs w:val="21"/>
                <w:highlight w:val="none"/>
              </w:rPr>
              <w:t>虑拟审核的过程和</w:t>
            </w:r>
            <w:bookmarkStart w:id="23" w:name="_GoBack"/>
            <w:bookmarkEnd w:id="23"/>
            <w:r>
              <w:rPr>
                <w:rFonts w:hint="eastAsia" w:ascii="宋体" w:hAnsi="宋体" w:cs="宋体"/>
                <w:color w:val="000000"/>
                <w:szCs w:val="21"/>
                <w:highlight w:val="none"/>
              </w:rPr>
              <w:t>区域的状况和重要性）</w:t>
            </w:r>
          </w:p>
          <w:p>
            <w:pPr>
              <w:spacing w:line="240" w:lineRule="exact"/>
              <w:ind w:left="105" w:leftChars="50" w:firstLine="315" w:firstLineChars="150"/>
              <w:rPr>
                <w:b/>
                <w:color w:val="FF0000"/>
                <w:sz w:val="20"/>
                <w:szCs w:val="20"/>
              </w:rPr>
            </w:pPr>
            <w:r>
              <w:rPr>
                <w:rFonts w:hint="eastAsia" w:ascii="宋体" w:hAnsi="宋体" w:cs="宋体"/>
                <w:color w:val="000000"/>
                <w:szCs w:val="21"/>
                <w:highlight w:val="none"/>
              </w:rPr>
              <w:t>建立有《内部审核控制程序》，规定了内审频次一年一次，内审时间：</w:t>
            </w:r>
            <w:r>
              <w:rPr>
                <w:rFonts w:hint="eastAsia" w:ascii="宋体" w:hAnsi="宋体" w:cs="宋体"/>
                <w:color w:val="000000"/>
                <w:szCs w:val="21"/>
                <w:highlight w:val="none"/>
                <w:lang w:eastAsia="zh-CN"/>
              </w:rPr>
              <w:t>2019年12月25日</w:t>
            </w:r>
            <w:r>
              <w:rPr>
                <w:rFonts w:hint="eastAsia" w:ascii="宋体" w:hAnsi="宋体" w:cs="宋体"/>
                <w:color w:val="000000"/>
                <w:szCs w:val="21"/>
                <w:highlight w:val="none"/>
              </w:rPr>
              <w:t>，拟定了审核实施表，明确了内审范围，内审人员经培训合格上岗，能力满足要求，未出现审核本部门情况，内审不符合项</w:t>
            </w:r>
            <w:r>
              <w:rPr>
                <w:rFonts w:hint="eastAsia" w:ascii="宋体" w:hAnsi="宋体" w:cs="宋体"/>
                <w:color w:val="000000"/>
                <w:szCs w:val="21"/>
                <w:highlight w:val="none"/>
                <w:lang w:val="en-US" w:eastAsia="zh-CN"/>
              </w:rPr>
              <w:t>1</w:t>
            </w:r>
            <w:r>
              <w:rPr>
                <w:rFonts w:hint="eastAsia" w:ascii="宋体" w:hAnsi="宋体" w:cs="宋体"/>
                <w:color w:val="000000"/>
                <w:szCs w:val="21"/>
                <w:highlight w:val="none"/>
              </w:rPr>
              <w:t>项，针对该不符合项，已及时采取纠正措施后，经内审员验证关闭。内审的有效性需要改善。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7" w:hRule="atLeast"/>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highlight w:val="none"/>
              </w:rPr>
            </w:pPr>
            <w:r>
              <w:rPr>
                <w:rFonts w:hint="eastAsia"/>
                <w:b/>
                <w:color w:val="000000" w:themeColor="text1"/>
                <w:sz w:val="20"/>
                <w:szCs w:val="20"/>
              </w:rPr>
              <w:t>4.管理评审（管理评审体系变更</w:t>
            </w:r>
            <w:r>
              <w:rPr>
                <w:rFonts w:hint="eastAsia"/>
                <w:b/>
                <w:color w:val="000000" w:themeColor="text1"/>
                <w:sz w:val="20"/>
                <w:szCs w:val="20"/>
                <w:highlight w:val="none"/>
              </w:rPr>
              <w:t>需求，纠正和预防措施、体系有效性等）</w:t>
            </w:r>
          </w:p>
          <w:p>
            <w:pPr>
              <w:spacing w:line="240" w:lineRule="exact"/>
              <w:ind w:firstLine="420" w:firstLineChars="200"/>
              <w:rPr>
                <w:b/>
                <w:color w:val="000000" w:themeColor="text1"/>
                <w:sz w:val="20"/>
                <w:szCs w:val="20"/>
              </w:rPr>
            </w:pPr>
            <w:r>
              <w:rPr>
                <w:rFonts w:hint="eastAsia" w:ascii="宋体" w:hAnsi="宋体" w:cs="宋体"/>
                <w:szCs w:val="21"/>
                <w:highlight w:val="none"/>
              </w:rPr>
              <w:t>管理评审频次为一年一次、本次管理评审于</w:t>
            </w:r>
            <w:r>
              <w:rPr>
                <w:rFonts w:hint="eastAsia" w:ascii="宋体" w:hAnsi="宋体"/>
                <w:kern w:val="0"/>
                <w:sz w:val="21"/>
                <w:szCs w:val="21"/>
                <w:highlight w:val="none"/>
              </w:rPr>
              <w:t>20</w:t>
            </w:r>
            <w:r>
              <w:rPr>
                <w:rFonts w:hint="eastAsia" w:ascii="宋体" w:hAnsi="宋体"/>
                <w:kern w:val="0"/>
                <w:sz w:val="21"/>
                <w:szCs w:val="21"/>
                <w:highlight w:val="none"/>
                <w:lang w:val="en-US" w:eastAsia="zh-CN"/>
              </w:rPr>
              <w:t>20</w:t>
            </w:r>
            <w:r>
              <w:rPr>
                <w:rFonts w:hint="eastAsia" w:ascii="宋体" w:hAnsi="宋体"/>
                <w:kern w:val="0"/>
                <w:sz w:val="21"/>
                <w:szCs w:val="21"/>
                <w:highlight w:val="none"/>
              </w:rPr>
              <w:t>年</w:t>
            </w:r>
            <w:r>
              <w:rPr>
                <w:rFonts w:hint="eastAsia" w:ascii="宋体" w:hAnsi="宋体"/>
                <w:kern w:val="0"/>
                <w:sz w:val="21"/>
                <w:szCs w:val="21"/>
                <w:highlight w:val="none"/>
                <w:lang w:val="en-US" w:eastAsia="zh-CN"/>
              </w:rPr>
              <w:t>1</w:t>
            </w:r>
            <w:r>
              <w:rPr>
                <w:rFonts w:hint="eastAsia" w:ascii="宋体" w:hAnsi="宋体"/>
                <w:kern w:val="0"/>
                <w:sz w:val="21"/>
                <w:szCs w:val="21"/>
                <w:highlight w:val="none"/>
              </w:rPr>
              <w:t>月</w:t>
            </w:r>
            <w:r>
              <w:rPr>
                <w:rFonts w:hint="eastAsia" w:ascii="宋体" w:hAnsi="宋体"/>
                <w:kern w:val="0"/>
                <w:sz w:val="21"/>
                <w:szCs w:val="21"/>
                <w:highlight w:val="none"/>
                <w:lang w:val="en-US" w:eastAsia="zh-CN"/>
              </w:rPr>
              <w:t>18</w:t>
            </w:r>
            <w:r>
              <w:rPr>
                <w:rFonts w:hint="eastAsia" w:ascii="宋体" w:hAnsi="宋体"/>
                <w:kern w:val="0"/>
                <w:sz w:val="21"/>
                <w:szCs w:val="21"/>
                <w:highlight w:val="none"/>
              </w:rPr>
              <w:t>日</w:t>
            </w:r>
            <w:r>
              <w:rPr>
                <w:rFonts w:hint="eastAsia" w:ascii="宋体" w:hAnsi="宋体" w:cs="宋体"/>
                <w:szCs w:val="21"/>
                <w:highlight w:val="none"/>
              </w:rPr>
              <w:t>由总经理主持完成、提供主要输入材料有各部门总结，输入信息基本充分和满足要求。输出见“管理评审报告”, 做出了管理体系基本适宜、充分和有效的评审结论。管理评审的输出不具体，需要改善。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hint="eastAsia" w:ascii="Times New Roman" w:hAnsi="Times New Roman" w:eastAsia="宋体" w:cs="Times New Roman"/>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w:t>
            </w:r>
            <w:r>
              <w:rPr>
                <w:rFonts w:hint="eastAsia" w:ascii="Times New Roman" w:hAnsi="Times New Roman" w:eastAsia="宋体" w:cs="Times New Roman"/>
                <w:b/>
                <w:color w:val="000000" w:themeColor="text1"/>
                <w:sz w:val="20"/>
                <w:szCs w:val="20"/>
              </w:rPr>
              <w:t>是否满足相关要求？</w:t>
            </w:r>
          </w:p>
          <w:p>
            <w:pPr>
              <w:spacing w:line="240" w:lineRule="exact"/>
              <w:rPr>
                <w:rFonts w:hint="eastAsia" w:eastAsia="宋体"/>
                <w:color w:val="FF0000"/>
                <w:sz w:val="20"/>
                <w:szCs w:val="20"/>
                <w:lang w:val="en-US" w:eastAsia="zh-CN"/>
              </w:rPr>
            </w:pPr>
            <w:r>
              <w:rPr>
                <w:rFonts w:hint="eastAsia" w:ascii="Times New Roman" w:hAnsi="Times New Roman" w:eastAsia="宋体" w:cs="Times New Roman"/>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rFonts w:hint="eastAsia" w:eastAsia="宋体"/>
                <w:b/>
                <w:color w:val="FF0000"/>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rFonts w:hint="eastAsia"/>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rFonts w:hint="default" w:eastAsia="宋体"/>
                <w:b/>
                <w:color w:val="FF0000"/>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400" w:lineRule="exact"/>
              <w:ind w:firstLine="420" w:firstLineChars="200"/>
              <w:rPr>
                <w:rFonts w:ascii="宋体" w:hAnsi="宋体"/>
                <w:szCs w:val="21"/>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在产品/服务、过程、管理体系等方面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hint="eastAsia"/>
                <w:b/>
                <w:color w:val="000000" w:themeColor="text1"/>
                <w:spacing w:val="-20"/>
                <w:sz w:val="20"/>
                <w:szCs w:val="20"/>
                <w:lang w:eastAsia="zh-CN"/>
              </w:rPr>
            </w:pPr>
            <w:r>
              <w:rPr>
                <w:rFonts w:hint="eastAsia"/>
                <w:b/>
                <w:color w:val="000000" w:themeColor="text1"/>
                <w:spacing w:val="-20"/>
                <w:sz w:val="20"/>
                <w:szCs w:val="20"/>
                <w:lang w:eastAsia="zh-CN"/>
              </w:rPr>
              <w:t>3. 一阶段提出问题的整改情况?</w:t>
            </w:r>
          </w:p>
          <w:p>
            <w:pPr>
              <w:spacing w:line="240" w:lineRule="exact"/>
              <w:rPr>
                <w:rFonts w:hint="eastAsia" w:eastAsia="宋体"/>
                <w:b/>
                <w:color w:val="000000" w:themeColor="text1"/>
                <w:spacing w:val="-20"/>
                <w:sz w:val="20"/>
                <w:szCs w:val="20"/>
                <w:lang w:eastAsia="zh-CN"/>
              </w:rPr>
            </w:pPr>
            <w:r>
              <w:rPr>
                <w:rFonts w:hint="eastAsia"/>
                <w:b/>
                <w:color w:val="000000" w:themeColor="text1"/>
                <w:spacing w:val="-20"/>
                <w:sz w:val="20"/>
                <w:szCs w:val="20"/>
                <w:lang w:eastAsia="zh-CN"/>
              </w:rPr>
              <w:t>一阶段审核不符合情况：无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hint="eastAsia"/>
                <w:b/>
                <w:color w:val="000000" w:themeColor="text1"/>
                <w:sz w:val="20"/>
                <w:szCs w:val="20"/>
              </w:rPr>
            </w:pPr>
            <w:r>
              <w:rPr>
                <w:rFonts w:hint="eastAsia"/>
                <w:b/>
                <w:color w:val="000000" w:themeColor="text1"/>
                <w:sz w:val="20"/>
                <w:szCs w:val="20"/>
              </w:rPr>
              <w:t>4.创新情况</w:t>
            </w: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hint="eastAsia"/>
                <w:b/>
                <w:color w:val="000000" w:themeColor="text1"/>
                <w:szCs w:val="21"/>
              </w:rPr>
            </w:pPr>
            <w:r>
              <w:rPr>
                <w:rFonts w:hint="eastAsia"/>
                <w:b/>
                <w:color w:val="000000" w:themeColor="text1"/>
                <w:szCs w:val="21"/>
              </w:rPr>
              <w:t>5. 上次不符合的整改情况（再认证填写）</w:t>
            </w:r>
          </w:p>
          <w:p>
            <w:pPr>
              <w:spacing w:line="240" w:lineRule="exact"/>
              <w:rPr>
                <w:b/>
                <w:color w:val="000000" w:themeColor="text1"/>
                <w:szCs w:val="21"/>
              </w:rPr>
            </w:pPr>
            <w:r>
              <w:rPr>
                <w:rFonts w:hint="eastAsia"/>
                <w:b/>
                <w:color w:val="000000" w:themeColor="text1"/>
                <w:szCs w:val="21"/>
              </w:rPr>
              <w:t>/</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w:t>
      </w:r>
      <w:r>
        <w:rPr>
          <w:rFonts w:hint="eastAsia"/>
          <w:b/>
          <w:color w:val="000000" w:themeColor="text1"/>
          <w:lang w:val="en-US" w:eastAsia="zh-CN"/>
        </w:rPr>
        <w:t>1</w:t>
      </w:r>
      <w:r>
        <w:rPr>
          <w:rFonts w:hint="eastAsia"/>
          <w:b/>
          <w:color w:val="000000" w:themeColor="text1"/>
        </w:rPr>
        <w:t>项；其中</w:t>
      </w:r>
      <w:r>
        <w:rPr>
          <w:b/>
          <w:color w:val="000000" w:themeColor="text1"/>
        </w:rPr>
        <w:pict>
          <v:line id="直接连接符 1" o:spid="_x0000_s2051" o:spt="20" style="position:absolute;left:0pt;margin-left:210pt;margin-top:16.2pt;height:0pt;width:0pt;z-index:251658240;mso-width-relative:page;mso-height-relative:page;" coordsize="21600,21600" o:allowincell="f">
            <v:path arrowok="t"/>
            <v:fill focussize="0,0"/>
            <v:stroke/>
            <v:imagedata o:title=""/>
            <o:lock v:ext="edit"/>
          </v:line>
        </w:pict>
      </w:r>
      <w:r>
        <w:rPr>
          <w:rFonts w:hint="eastAsia"/>
          <w:b/>
          <w:color w:val="000000" w:themeColor="text1"/>
        </w:rPr>
        <w:t>严重不符合</w:t>
      </w:r>
      <w:r>
        <w:rPr>
          <w:rFonts w:hint="eastAsia"/>
          <w:b/>
          <w:color w:val="000000" w:themeColor="text1"/>
          <w:lang w:val="en-US" w:eastAsia="zh-CN"/>
        </w:rPr>
        <w:t>0</w:t>
      </w:r>
      <w:r>
        <w:rPr>
          <w:rFonts w:hint="eastAsia"/>
          <w:b/>
          <w:color w:val="000000" w:themeColor="text1"/>
        </w:rPr>
        <w:t>项，一般不符合</w:t>
      </w:r>
      <w:r>
        <w:rPr>
          <w:rFonts w:hint="eastAsia"/>
          <w:b/>
          <w:color w:val="000000" w:themeColor="text1"/>
          <w:lang w:val="en-US" w:eastAsia="zh-CN"/>
        </w:rPr>
        <w:t>1</w:t>
      </w:r>
      <w:r>
        <w:rPr>
          <w:rFonts w:hint="eastAsia"/>
          <w:b/>
          <w:color w:val="000000" w:themeColor="text1"/>
        </w:rPr>
        <w:t>项，观察项</w:t>
      </w:r>
      <w:r>
        <w:rPr>
          <w:rFonts w:hint="eastAsia"/>
          <w:b/>
          <w:color w:val="000000" w:themeColor="text1"/>
          <w:lang w:val="en-US" w:eastAsia="zh-CN"/>
        </w:rPr>
        <w:t>0</w:t>
      </w:r>
      <w:r>
        <w:rPr>
          <w:rFonts w:hint="eastAsia"/>
          <w:b/>
          <w:color w:val="000000" w:themeColor="text1"/>
        </w:rPr>
        <w:t>项分布在部门条款，分布见附件。（Q/J/E/S分开填写）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7"/>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lang w:eastAsia="zh-CN"/>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6"/>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2"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lang w:eastAsia="zh-CN"/>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2"/>
                <w:szCs w:val="22"/>
              </w:rPr>
            </w:pPr>
            <w:r>
              <w:rPr>
                <w:rFonts w:hint="eastAsia"/>
                <w:b/>
                <w:color w:val="000000" w:themeColor="text1"/>
                <w:spacing w:val="-10"/>
                <w:szCs w:val="21"/>
                <w:lang w:eastAsia="zh-CN"/>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p>
            <w:pPr>
              <w:spacing w:line="240" w:lineRule="exact"/>
              <w:rPr>
                <w:b/>
                <w:color w:val="000000" w:themeColor="text1"/>
                <w:sz w:val="22"/>
                <w:szCs w:val="22"/>
              </w:rPr>
            </w:pPr>
          </w:p>
          <w:p>
            <w:pPr>
              <w:spacing w:line="240" w:lineRule="exact"/>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spacing w:val="-10"/>
                <w:szCs w:val="21"/>
                <w:lang w:eastAsia="zh-CN"/>
              </w:rPr>
              <w:t>☑</w:t>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ascii="宋体" w:hAnsi="宋体"/>
                <w:b/>
                <w:color w:val="000000" w:themeColor="text1"/>
                <w:u w:val="single"/>
              </w:rPr>
            </w:pPr>
            <w:r>
              <w:rPr>
                <w:rFonts w:ascii="宋体" w:hAnsi="宋体"/>
                <w:b/>
                <w:color w:val="000000" w:themeColor="text1"/>
              </w:rPr>
              <w:t>QMS:</w:t>
            </w:r>
            <w:r>
              <w:rPr>
                <w:rFonts w:hint="eastAsia" w:ascii="宋体" w:hAnsi="宋体" w:cs="宋体"/>
                <w:sz w:val="21"/>
                <w:szCs w:val="21"/>
              </w:rPr>
              <w:t>一般机械配件的加工</w:t>
            </w:r>
          </w:p>
          <w:p>
            <w:pPr>
              <w:spacing w:line="320" w:lineRule="exact"/>
              <w:rPr>
                <w:rFonts w:ascii="宋体" w:hAnsi="宋体"/>
                <w:b/>
                <w:color w:val="000000" w:themeColor="text1"/>
                <w:u w:val="single"/>
              </w:rPr>
            </w:pP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p>
          <w:p>
            <w:pPr>
              <w:spacing w:line="320" w:lineRule="exact"/>
              <w:rPr>
                <w:rFonts w:ascii="宋体" w:hAnsi="宋体"/>
                <w:b/>
                <w:color w:val="000000" w:themeColor="text1"/>
                <w:u w:val="single"/>
                <w:lang w:val="en-GB"/>
              </w:rPr>
            </w:pPr>
          </w:p>
          <w:p>
            <w:pPr>
              <w:spacing w:line="320" w:lineRule="exact"/>
              <w:rPr>
                <w:rFonts w:ascii="宋体" w:hAnsi="宋体"/>
                <w:b/>
                <w:color w:val="000000" w:themeColor="text1"/>
                <w:u w:val="single"/>
                <w:lang w:val="en-GB"/>
              </w:rPr>
            </w:pPr>
            <w:r>
              <w:rPr>
                <w:rFonts w:hint="eastAsia" w:ascii="宋体" w:hAnsi="宋体"/>
                <w:b/>
                <w:color w:val="000000" w:themeColor="text1"/>
              </w:rPr>
              <w:t>OHSMS</w:t>
            </w:r>
            <w:r>
              <w:rPr>
                <w:rFonts w:hint="eastAsia" w:ascii="宋体" w:hAnsi="宋体"/>
                <w:b/>
                <w:color w:val="000000" w:themeColor="text1"/>
                <w:lang w:val="en-GB"/>
              </w:rPr>
              <w:t>:</w:t>
            </w:r>
          </w:p>
          <w:p>
            <w:pPr>
              <w:snapToGrid w:val="0"/>
              <w:spacing w:line="280" w:lineRule="exact"/>
              <w:rPr>
                <w:b/>
                <w:color w:val="000000" w:themeColor="text1"/>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lang w:eastAsia="zh-CN"/>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lang w:eastAsia="zh-CN"/>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5"/>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一般不符合报告在天/严重不符合在天针对不符合原因制定并实施纠正措施。验证方式见不符合项报告。</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p>
    <w:p>
      <w:pPr>
        <w:spacing w:before="156" w:beforeLines="50" w:after="156" w:afterLines="50"/>
        <w:ind w:left="-326" w:leftChars="-405" w:hanging="524" w:hangingChars="326"/>
        <w:rPr>
          <w:b/>
          <w:color w:val="000000" w:themeColor="text1"/>
          <w:sz w:val="16"/>
          <w:szCs w:val="16"/>
        </w:rPr>
      </w:pPr>
    </w:p>
    <w:p>
      <w:pPr>
        <w:snapToGrid w:val="0"/>
        <w:rPr>
          <w:b/>
          <w:bCs/>
          <w:color w:val="000000" w:themeColor="text1"/>
          <w:szCs w:val="28"/>
          <w:u w:val="single"/>
        </w:rPr>
      </w:pPr>
    </w:p>
    <w:p>
      <w:pPr>
        <w:snapToGrid w:val="0"/>
        <w:spacing w:after="156" w:afterLines="50" w:line="360" w:lineRule="auto"/>
        <w:ind w:left="-195" w:leftChars="-405" w:hanging="655" w:hangingChars="326"/>
        <w:rPr>
          <w:b/>
          <w:color w:val="000000" w:themeColor="text1"/>
          <w:sz w:val="16"/>
          <w:szCs w:val="16"/>
        </w:rPr>
      </w:pPr>
      <w:r>
        <w:rPr>
          <w:rFonts w:hint="eastAsia" w:ascii="宋体" w:hAnsi="宋体"/>
          <w:b/>
          <w:kern w:val="0"/>
          <w:sz w:val="20"/>
          <w:szCs w:val="20"/>
        </w:rPr>
        <w:drawing>
          <wp:anchor distT="0" distB="0" distL="114300" distR="114300" simplePos="0" relativeHeight="251739136" behindDoc="0" locked="0" layoutInCell="1" allowOverlap="1">
            <wp:simplePos x="0" y="0"/>
            <wp:positionH relativeFrom="column">
              <wp:posOffset>1701800</wp:posOffset>
            </wp:positionH>
            <wp:positionV relativeFrom="paragraph">
              <wp:posOffset>397510</wp:posOffset>
            </wp:positionV>
            <wp:extent cx="593725" cy="249555"/>
            <wp:effectExtent l="0" t="0" r="3175" b="3810"/>
            <wp:wrapSquare wrapText="bothSides"/>
            <wp:docPr id="3" name="图片 3" descr="李林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李林签名"/>
                    <pic:cNvPicPr>
                      <a:picLocks noChangeAspect="1"/>
                    </pic:cNvPicPr>
                  </pic:nvPicPr>
                  <pic:blipFill>
                    <a:blip r:embed="rId6"/>
                    <a:stretch>
                      <a:fillRect/>
                    </a:stretch>
                  </pic:blipFill>
                  <pic:spPr>
                    <a:xfrm>
                      <a:off x="0" y="0"/>
                      <a:ext cx="593725" cy="249555"/>
                    </a:xfrm>
                    <a:prstGeom prst="rect">
                      <a:avLst/>
                    </a:prstGeom>
                    <a:noFill/>
                    <a:ln>
                      <a:noFill/>
                    </a:ln>
                  </pic:spPr>
                </pic:pic>
              </a:graphicData>
            </a:graphic>
          </wp:anchor>
        </w:drawing>
      </w: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p>
    <w:p>
      <w:pPr>
        <w:snapToGrid w:val="0"/>
        <w:spacing w:before="156" w:beforeLines="50" w:line="360" w:lineRule="auto"/>
        <w:ind w:firstLine="502" w:firstLineChars="250"/>
        <w:rPr>
          <w:b/>
          <w:color w:val="000000" w:themeColor="text1"/>
        </w:rPr>
      </w:pPr>
      <w:r>
        <w:rPr>
          <w:rFonts w:hint="eastAsia" w:ascii="宋体" w:hAnsi="宋体"/>
          <w:b/>
          <w:kern w:val="0"/>
          <w:sz w:val="20"/>
          <w:szCs w:val="20"/>
        </w:rPr>
        <w:drawing>
          <wp:anchor distT="0" distB="0" distL="114300" distR="114300" simplePos="0" relativeHeight="251743232" behindDoc="0" locked="0" layoutInCell="1" allowOverlap="1">
            <wp:simplePos x="0" y="0"/>
            <wp:positionH relativeFrom="column">
              <wp:posOffset>2730500</wp:posOffset>
            </wp:positionH>
            <wp:positionV relativeFrom="paragraph">
              <wp:posOffset>212725</wp:posOffset>
            </wp:positionV>
            <wp:extent cx="699770" cy="212725"/>
            <wp:effectExtent l="0" t="0" r="11430" b="3175"/>
            <wp:wrapSquare wrapText="bothSides"/>
            <wp:docPr id="5" name="图片 5" descr="5f767c6e0deac47b23ab154738ba7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5f767c6e0deac47b23ab154738ba749"/>
                    <pic:cNvPicPr>
                      <a:picLocks noChangeAspect="1"/>
                    </pic:cNvPicPr>
                  </pic:nvPicPr>
                  <pic:blipFill>
                    <a:blip r:embed="rId7"/>
                    <a:stretch>
                      <a:fillRect/>
                    </a:stretch>
                  </pic:blipFill>
                  <pic:spPr>
                    <a:xfrm>
                      <a:off x="0" y="0"/>
                      <a:ext cx="699770" cy="212725"/>
                    </a:xfrm>
                    <a:prstGeom prst="rect">
                      <a:avLst/>
                    </a:prstGeom>
                  </pic:spPr>
                </pic:pic>
              </a:graphicData>
            </a:graphic>
          </wp:anchor>
        </w:drawing>
      </w:r>
      <w:r>
        <w:rPr>
          <w:rFonts w:hint="eastAsia" w:eastAsiaTheme="minorEastAsia"/>
          <w:lang w:eastAsia="zh-CN"/>
        </w:rPr>
        <w:drawing>
          <wp:anchor distT="0" distB="0" distL="114300" distR="114300" simplePos="0" relativeHeight="251740160" behindDoc="0" locked="0" layoutInCell="1" allowOverlap="1">
            <wp:simplePos x="0" y="0"/>
            <wp:positionH relativeFrom="column">
              <wp:posOffset>1568450</wp:posOffset>
            </wp:positionH>
            <wp:positionV relativeFrom="paragraph">
              <wp:posOffset>84455</wp:posOffset>
            </wp:positionV>
            <wp:extent cx="894080" cy="405765"/>
            <wp:effectExtent l="0" t="0" r="7620" b="635"/>
            <wp:wrapSquare wrapText="bothSides"/>
            <wp:docPr id="4" name="图片 4" descr="微信图片_20200622152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200622152810"/>
                    <pic:cNvPicPr>
                      <a:picLocks noChangeAspect="1"/>
                    </pic:cNvPicPr>
                  </pic:nvPicPr>
                  <pic:blipFill>
                    <a:blip r:embed="rId8"/>
                    <a:srcRect l="1100" r="21452" b="12517"/>
                    <a:stretch>
                      <a:fillRect/>
                    </a:stretch>
                  </pic:blipFill>
                  <pic:spPr>
                    <a:xfrm>
                      <a:off x="0" y="0"/>
                      <a:ext cx="894080" cy="405765"/>
                    </a:xfrm>
                    <a:prstGeom prst="rect">
                      <a:avLst/>
                    </a:prstGeom>
                  </pic:spPr>
                </pic:pic>
              </a:graphicData>
            </a:graphic>
          </wp:anchor>
        </w:drawing>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080" w:firstLineChars="1461"/>
        <w:rPr>
          <w:b/>
          <w:color w:val="000000" w:themeColor="text1"/>
          <w:sz w:val="16"/>
          <w:szCs w:val="16"/>
        </w:rPr>
      </w:pPr>
      <w:r>
        <w:rPr>
          <w:rFonts w:hint="eastAsia"/>
          <w:b/>
          <w:color w:val="000000" w:themeColor="text1"/>
        </w:rPr>
        <w:t>日期</w:t>
      </w:r>
      <w:r>
        <w:rPr>
          <w:rFonts w:hint="eastAsia"/>
          <w:b/>
          <w:color w:val="000000" w:themeColor="text1"/>
          <w:lang w:eastAsia="zh-CN"/>
        </w:rPr>
        <w:t>：</w:t>
      </w:r>
      <w:r>
        <w:rPr>
          <w:rFonts w:hint="eastAsia"/>
          <w:b/>
          <w:color w:val="000000" w:themeColor="text1"/>
          <w:lang w:val="en-US" w:eastAsia="zh-CN"/>
        </w:rPr>
        <w:t>2020</w:t>
      </w:r>
      <w:r>
        <w:rPr>
          <w:rFonts w:hint="eastAsia" w:asciiTheme="minorEastAsia" w:hAnsiTheme="minorEastAsia" w:eastAsiaTheme="minorEastAsia"/>
          <w:b/>
          <w:color w:val="000000" w:themeColor="text1"/>
        </w:rPr>
        <w:t>年</w:t>
      </w:r>
      <w:r>
        <w:rPr>
          <w:rFonts w:hint="eastAsia" w:asciiTheme="minorEastAsia" w:hAnsiTheme="minorEastAsia" w:eastAsiaTheme="minorEastAsia"/>
          <w:b/>
          <w:color w:val="000000" w:themeColor="text1"/>
          <w:lang w:val="en-US" w:eastAsia="zh-CN"/>
        </w:rPr>
        <w:t>7</w:t>
      </w:r>
      <w:r>
        <w:rPr>
          <w:rFonts w:hint="eastAsia" w:asciiTheme="minorEastAsia" w:hAnsiTheme="minorEastAsia" w:eastAsiaTheme="minorEastAsia"/>
          <w:b/>
          <w:color w:val="000000" w:themeColor="text1"/>
        </w:rPr>
        <w:t>月</w:t>
      </w:r>
      <w:r>
        <w:rPr>
          <w:rFonts w:hint="eastAsia" w:asciiTheme="minorEastAsia" w:hAnsiTheme="minorEastAsia" w:eastAsiaTheme="minorEastAsia"/>
          <w:b/>
          <w:color w:val="000000" w:themeColor="text1"/>
          <w:lang w:val="en-US" w:eastAsia="zh-CN"/>
        </w:rPr>
        <w:t>19</w:t>
      </w:r>
      <w:r>
        <w:rPr>
          <w:rFonts w:hint="eastAsia" w:asciiTheme="minorEastAsia" w:hAnsiTheme="minorEastAsia" w:eastAsiaTheme="minorEastAsia"/>
          <w:b/>
          <w:color w:val="000000" w:themeColor="text1"/>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lang w:eastAsia="zh-CN"/>
        </w:rPr>
        <w:t>☑</w:t>
      </w:r>
      <w:r>
        <w:rPr>
          <w:rFonts w:hint="eastAsia"/>
          <w:b/>
          <w:color w:val="000000" w:themeColor="text1"/>
          <w:szCs w:val="21"/>
        </w:rPr>
        <w:t xml:space="preserve">QMS(  </w:t>
      </w:r>
      <w:r>
        <w:rPr>
          <w:rFonts w:hint="eastAsia"/>
          <w:b/>
          <w:color w:val="000000" w:themeColor="text1"/>
          <w:szCs w:val="21"/>
          <w:lang w:val="en-US" w:eastAsia="zh-CN"/>
        </w:rPr>
        <w:t>1</w:t>
      </w:r>
      <w:r>
        <w:rPr>
          <w:rFonts w:hint="eastAsia"/>
          <w:b/>
          <w:color w:val="000000" w:themeColor="text1"/>
          <w:szCs w:val="21"/>
        </w:rPr>
        <w:t xml:space="preserve"> )个一般不符合，(  )个严重不符合，</w:t>
      </w:r>
      <w:r>
        <w:rPr>
          <w:rFonts w:hint="eastAsia"/>
          <w:b/>
          <w:color w:val="000000" w:themeColor="text1"/>
          <w:spacing w:val="-10"/>
          <w:szCs w:val="21"/>
          <w:lang w:eastAsia="zh-CN"/>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lang w:eastAsia="zh-CN"/>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ind w:firstLine="201" w:firstLineChars="100"/>
        <w:rPr>
          <w:b/>
          <w:color w:val="000000" w:themeColor="text1"/>
          <w:szCs w:val="21"/>
        </w:rPr>
      </w:pPr>
      <w:r>
        <w:rPr>
          <w:rFonts w:hint="eastAsia" w:ascii="宋体" w:hAnsi="宋体"/>
          <w:b/>
          <w:kern w:val="0"/>
          <w:sz w:val="20"/>
          <w:szCs w:val="20"/>
        </w:rPr>
        <w:drawing>
          <wp:anchor distT="0" distB="0" distL="114300" distR="114300" simplePos="0" relativeHeight="251825152" behindDoc="0" locked="0" layoutInCell="1" allowOverlap="1">
            <wp:simplePos x="0" y="0"/>
            <wp:positionH relativeFrom="column">
              <wp:posOffset>838200</wp:posOffset>
            </wp:positionH>
            <wp:positionV relativeFrom="paragraph">
              <wp:posOffset>188595</wp:posOffset>
            </wp:positionV>
            <wp:extent cx="593725" cy="249555"/>
            <wp:effectExtent l="0" t="0" r="3175" b="3810"/>
            <wp:wrapSquare wrapText="bothSides"/>
            <wp:docPr id="6" name="图片 6" descr="李林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李林签名"/>
                    <pic:cNvPicPr>
                      <a:picLocks noChangeAspect="1"/>
                    </pic:cNvPicPr>
                  </pic:nvPicPr>
                  <pic:blipFill>
                    <a:blip r:embed="rId6"/>
                    <a:stretch>
                      <a:fillRect/>
                    </a:stretch>
                  </pic:blipFill>
                  <pic:spPr>
                    <a:xfrm>
                      <a:off x="0" y="0"/>
                      <a:ext cx="593725" cy="249555"/>
                    </a:xfrm>
                    <a:prstGeom prst="rect">
                      <a:avLst/>
                    </a:prstGeom>
                    <a:noFill/>
                    <a:ln>
                      <a:noFill/>
                    </a:ln>
                  </pic:spPr>
                </pic:pic>
              </a:graphicData>
            </a:graphic>
          </wp:anchor>
        </w:drawing>
      </w:r>
      <w:r>
        <w:rPr>
          <w:rFonts w:hint="eastAsia"/>
          <w:b/>
          <w:color w:val="000000" w:themeColor="text1"/>
          <w:szCs w:val="21"/>
        </w:rPr>
        <w:t xml:space="preserve">组长签字:                               日期:  </w:t>
      </w:r>
      <w:r>
        <w:rPr>
          <w:rFonts w:hint="eastAsia"/>
          <w:b/>
          <w:color w:val="000000" w:themeColor="text1"/>
          <w:szCs w:val="21"/>
          <w:lang w:val="en-US" w:eastAsia="zh-CN"/>
        </w:rPr>
        <w:t>2020</w:t>
      </w:r>
      <w:r>
        <w:rPr>
          <w:rFonts w:hint="eastAsia"/>
          <w:b/>
          <w:color w:val="000000" w:themeColor="text1"/>
          <w:szCs w:val="21"/>
        </w:rPr>
        <w:t>年</w:t>
      </w:r>
      <w:r>
        <w:rPr>
          <w:rFonts w:hint="eastAsia"/>
          <w:b/>
          <w:color w:val="000000" w:themeColor="text1"/>
          <w:szCs w:val="21"/>
          <w:lang w:val="en-US" w:eastAsia="zh-CN"/>
        </w:rPr>
        <w:t>07</w:t>
      </w:r>
      <w:r>
        <w:rPr>
          <w:rFonts w:hint="eastAsia"/>
          <w:b/>
          <w:color w:val="000000" w:themeColor="text1"/>
          <w:szCs w:val="21"/>
        </w:rPr>
        <w:t>月</w:t>
      </w:r>
      <w:r>
        <w:rPr>
          <w:rFonts w:hint="eastAsia"/>
          <w:b/>
          <w:color w:val="000000" w:themeColor="text1"/>
          <w:szCs w:val="21"/>
          <w:lang w:val="en-US" w:eastAsia="zh-CN"/>
        </w:rPr>
        <w:t>19</w:t>
      </w:r>
      <w:r>
        <w:rPr>
          <w:rFonts w:hint="eastAsia"/>
          <w:b/>
          <w:color w:val="000000" w:themeColor="text1"/>
          <w:szCs w:val="21"/>
        </w:rPr>
        <w:t>日</w:t>
      </w:r>
    </w:p>
    <w:p>
      <w:pPr>
        <w:spacing w:line="360" w:lineRule="auto"/>
        <w:ind w:left="0"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4"/>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认证评定负责人：</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numPr>
          <w:ilvl w:val="0"/>
          <w:numId w:val="4"/>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批准人（总经理）：</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ind w:left="0" w:leftChars="-405" w:hanging="850" w:hangingChars="403"/>
        <w:rPr>
          <w:b/>
          <w:color w:val="000000" w:themeColor="text1"/>
          <w:szCs w:val="21"/>
          <w:u w:val="single"/>
        </w:rPr>
      </w:pPr>
    </w:p>
    <w:p>
      <w:pPr>
        <w:snapToGrid w:val="0"/>
        <w:spacing w:line="360" w:lineRule="auto"/>
        <w:ind w:left="0" w:leftChars="-405" w:hanging="850" w:hangingChars="403"/>
        <w:rPr>
          <w:b/>
          <w:color w:val="000000" w:themeColor="text1"/>
          <w:szCs w:val="21"/>
          <w:u w:val="single"/>
        </w:rPr>
      </w:pPr>
    </w:p>
    <w:p>
      <w:pPr>
        <w:snapToGrid w:val="0"/>
        <w:spacing w:line="360" w:lineRule="auto"/>
        <w:ind w:left="738" w:hanging="738" w:hangingChars="350"/>
        <w:rPr>
          <w:b/>
          <w:color w:val="000000" w:themeColor="text1"/>
          <w:szCs w:val="21"/>
          <w:u w:val="single"/>
        </w:rPr>
      </w:pP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lang w:val="en-US" w:eastAsia="zh-CN"/>
        </w:rPr>
        <w:t xml:space="preserve">  </w:t>
      </w:r>
      <w:r>
        <w:rPr>
          <w:rFonts w:hint="eastAsia"/>
          <w:b/>
          <w:color w:val="000000" w:themeColor="text1"/>
        </w:rPr>
        <w:t>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bookmarkStart w:id="22" w:name="_Hlk8555230"/>
    <w:r>
      <w:pict>
        <v:shape id="_x0000_s3073" o:spid="_x0000_s3073"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bookmarkEnd w:id="22"/>
  </w:p>
  <w:p>
    <w:pPr>
      <w:pStyle w:val="4"/>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F1E0F62"/>
    <w:multiLevelType w:val="singleLevel"/>
    <w:tmpl w:val="5F1E0F62"/>
    <w:lvl w:ilvl="0" w:tentative="0">
      <w:start w:val="3"/>
      <w:numFmt w:val="decimal"/>
      <w:lvlText w:val="%1."/>
      <w:lvlJc w:val="left"/>
      <w:pPr>
        <w:tabs>
          <w:tab w:val="left" w:pos="312"/>
        </w:tabs>
      </w:pPr>
    </w:lvl>
  </w:abstractNum>
  <w:abstractNum w:abstractNumId="3">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5A27B6F"/>
    <w:rsid w:val="11290DB8"/>
    <w:rsid w:val="17F7261D"/>
    <w:rsid w:val="23D07EC5"/>
    <w:rsid w:val="26D044F2"/>
    <w:rsid w:val="32573B90"/>
    <w:rsid w:val="33E47A1E"/>
    <w:rsid w:val="37294261"/>
    <w:rsid w:val="3F8E598C"/>
    <w:rsid w:val="477616E3"/>
    <w:rsid w:val="558B40A5"/>
    <w:rsid w:val="56312DDC"/>
    <w:rsid w:val="5EFC7515"/>
    <w:rsid w:val="66404C06"/>
    <w:rsid w:val="7652584D"/>
    <w:rsid w:val="78DF71E7"/>
    <w:rsid w:val="7A951A88"/>
    <w:rsid w:val="7EEE332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_x0000_s2050"/>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3"/>
    <w:semiHidden/>
    <w:unhideWhenUsed/>
    <w:qFormat/>
    <w:uiPriority w:val="99"/>
    <w:rPr>
      <w:sz w:val="18"/>
      <w:szCs w:val="18"/>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uiPriority w:val="99"/>
    <w:pPr>
      <w:widowControl/>
      <w:spacing w:before="100" w:beforeAutospacing="1" w:after="100" w:afterAutospacing="1"/>
      <w:jc w:val="left"/>
    </w:pPr>
    <w:rPr>
      <w:rFonts w:ascii="宋体" w:hAnsi="宋体" w:cs="宋体"/>
      <w:kern w:val="0"/>
      <w:sz w:val="24"/>
    </w:rPr>
  </w:style>
  <w:style w:type="table" w:styleId="7">
    <w:name w:val="Table Grid"/>
    <w:basedOn w:val="6"/>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basedOn w:val="8"/>
    <w:semiHidden/>
    <w:unhideWhenUsed/>
    <w:uiPriority w:val="99"/>
    <w:rPr>
      <w:color w:val="0000FF"/>
      <w:u w:val="single"/>
    </w:rPr>
  </w:style>
  <w:style w:type="paragraph" w:styleId="10">
    <w:name w:val="List Paragraph"/>
    <w:basedOn w:val="1"/>
    <w:qFormat/>
    <w:uiPriority w:val="34"/>
    <w:pPr>
      <w:ind w:firstLine="420" w:firstLineChars="200"/>
    </w:pPr>
  </w:style>
  <w:style w:type="character" w:customStyle="1" w:styleId="11">
    <w:name w:val="页眉 Char1"/>
    <w:basedOn w:val="8"/>
    <w:link w:val="4"/>
    <w:uiPriority w:val="99"/>
    <w:rPr>
      <w:rFonts w:ascii="Times New Roman" w:hAnsi="Times New Roman" w:eastAsia="宋体" w:cs="Times New Roman"/>
      <w:sz w:val="18"/>
      <w:szCs w:val="18"/>
    </w:rPr>
  </w:style>
  <w:style w:type="character" w:customStyle="1" w:styleId="12">
    <w:name w:val="页脚 Char"/>
    <w:basedOn w:val="8"/>
    <w:link w:val="3"/>
    <w:uiPriority w:val="99"/>
    <w:rPr>
      <w:rFonts w:ascii="Times New Roman" w:hAnsi="Times New Roman" w:eastAsia="宋体" w:cs="Times New Roman"/>
      <w:sz w:val="18"/>
      <w:szCs w:val="18"/>
    </w:rPr>
  </w:style>
  <w:style w:type="character" w:customStyle="1" w:styleId="13">
    <w:name w:val="批注框文本 Char"/>
    <w:basedOn w:val="8"/>
    <w:link w:val="2"/>
    <w:semiHidden/>
    <w:qFormat/>
    <w:uiPriority w:val="99"/>
    <w:rPr>
      <w:rFonts w:ascii="Times New Roman" w:hAnsi="Times New Roman" w:eastAsia="宋体" w:cs="Times New Roman"/>
      <w:sz w:val="18"/>
      <w:szCs w:val="18"/>
    </w:rPr>
  </w:style>
  <w:style w:type="character" w:customStyle="1" w:styleId="14">
    <w:name w:val="页眉 Char"/>
    <w:uiPriority w:val="0"/>
    <w:rPr>
      <w:kern w:val="2"/>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jpe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769</Words>
  <Characters>4384</Characters>
  <Lines>36</Lines>
  <Paragraphs>10</Paragraphs>
  <TotalTime>0</TotalTime>
  <ScaleCrop>false</ScaleCrop>
  <LinksUpToDate>false</LinksUpToDate>
  <CharactersWithSpaces>5143</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way一直都在</cp:lastModifiedBy>
  <cp:lastPrinted>2019-05-13T03:19:00Z</cp:lastPrinted>
  <dcterms:modified xsi:type="dcterms:W3CDTF">2020-07-30T06:39:39Z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