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0319-2020-Q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重庆市璧山区正兴金属有限公司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杨庆</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重庆市璧山区正兴金属有限公司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重庆市璧山区来凤街道来凤村10组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402763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重庆市璧山区来凤街道来凤村10组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402763</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叶太双</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13368312488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叶和</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詹秀霞</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hint="eastAsia" w:ascii="宋体" w:hAnsi="宋体"/>
                <w:b/>
                <w:color w:val="000000"/>
                <w:spacing w:val="-8"/>
                <w:sz w:val="20"/>
                <w:szCs w:val="20"/>
              </w:rPr>
            </w:pPr>
            <w:r>
              <w:rPr>
                <w:rFonts w:hint="eastAsia" w:ascii="宋体" w:hAnsi="宋体"/>
                <w:b/>
                <w:color w:val="000000"/>
                <w:spacing w:val="-8"/>
                <w:sz w:val="20"/>
                <w:szCs w:val="20"/>
              </w:rPr>
              <w:t>体系文件实施时间</w:t>
            </w:r>
          </w:p>
        </w:tc>
        <w:tc>
          <w:tcPr>
            <w:tcW w:w="7492" w:type="dxa"/>
            <w:gridSpan w:val="5"/>
          </w:tcPr>
          <w:p>
            <w:pPr>
              <w:jc w:val="center"/>
              <w:rPr>
                <w:rFonts w:hint="eastAsia" w:ascii="宋体" w:hAnsi="宋体"/>
                <w:b/>
                <w:color w:val="000000"/>
                <w:spacing w:val="-8"/>
                <w:sz w:val="20"/>
                <w:szCs w:val="20"/>
              </w:rPr>
            </w:pPr>
            <w:r>
              <w:rPr>
                <w:rFonts w:hint="eastAsia" w:ascii="宋体" w:hAnsi="宋体"/>
                <w:b/>
                <w:color w:val="000000"/>
                <w:spacing w:val="-8"/>
                <w:sz w:val="20"/>
                <w:szCs w:val="20"/>
                <w:lang w:eastAsia="zh-CN"/>
              </w:rPr>
              <w:t>2019年09月20日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一般机械配件的加工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行政部、市场部、生产技术部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办公室及生产现场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hint="eastAsia" w:ascii="宋体" w:hAnsi="宋体" w:cs="Times New Roman"/>
                <w:color w:val="000000"/>
                <w:sz w:val="20"/>
                <w:szCs w:val="20"/>
              </w:rPr>
            </w:pPr>
            <w:r>
              <w:rPr>
                <w:rFonts w:hint="eastAsia" w:ascii="宋体" w:hAnsi="宋体" w:cs="Times New Roman"/>
                <w:color w:val="000000"/>
                <w:sz w:val="20"/>
                <w:szCs w:val="20"/>
              </w:rPr>
              <w:t>8、对管理体系,综合绩效是否建立了监视测量程序或制度</w:t>
            </w:r>
          </w:p>
        </w:tc>
        <w:tc>
          <w:tcPr>
            <w:tcW w:w="970" w:type="dxa"/>
            <w:gridSpan w:val="2"/>
          </w:tcPr>
          <w:p>
            <w:pPr>
              <w:rPr>
                <w:rFonts w:hint="eastAsia" w:ascii="宋体" w:hAnsi="宋体" w:cs="Times New Roman"/>
                <w:color w:val="000000"/>
                <w:sz w:val="20"/>
                <w:szCs w:val="20"/>
              </w:rPr>
            </w:pPr>
            <w:r>
              <w:rPr>
                <w:rFonts w:hint="eastAsia" w:ascii="宋体" w:hAnsi="宋体" w:cs="Times New Roman"/>
                <w:color w:val="000000"/>
                <w:sz w:val="20"/>
                <w:szCs w:val="20"/>
              </w:rPr>
              <w:t>□是</w:t>
            </w:r>
          </w:p>
        </w:tc>
        <w:tc>
          <w:tcPr>
            <w:tcW w:w="1308" w:type="dxa"/>
            <w:gridSpan w:val="2"/>
          </w:tcPr>
          <w:p>
            <w:pPr>
              <w:rPr>
                <w:rFonts w:hint="eastAsia" w:ascii="宋体" w:hAnsi="宋体" w:cs="Times New Roman"/>
                <w:color w:val="000000"/>
                <w:sz w:val="20"/>
                <w:szCs w:val="20"/>
              </w:rPr>
            </w:pPr>
            <w:r>
              <w:rPr>
                <w:rFonts w:hint="eastAsia" w:ascii="宋体" w:hAnsi="宋体" w:cs="Times New Roman"/>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hint="eastAsia" w:ascii="宋体" w:hAnsi="宋体" w:cs="Times New Roman"/>
                <w:color w:val="000000"/>
                <w:sz w:val="20"/>
                <w:szCs w:val="20"/>
              </w:rPr>
            </w:pPr>
            <w:r>
              <w:rPr>
                <w:rFonts w:hint="eastAsia" w:ascii="宋体" w:hAnsi="宋体" w:cs="Times New Roman"/>
                <w:color w:val="000000"/>
                <w:sz w:val="20"/>
                <w:szCs w:val="20"/>
              </w:rPr>
              <w:t>9、管理体系文件的结构、层次及其文件的数量、文件化体系相对于标准的符合性：见文件审核报告</w:t>
            </w:r>
          </w:p>
        </w:tc>
      </w:tr>
    </w:tbl>
    <w:p>
      <w:pPr>
        <w:rPr>
          <w:rFonts w:hint="eastAsia" w:ascii="宋体" w:hAnsi="宋体" w:cs="Times New Roman"/>
          <w:color w:val="000000"/>
          <w:sz w:val="20"/>
          <w:szCs w:val="20"/>
        </w:rPr>
      </w:pPr>
    </w:p>
    <w:p>
      <w:pPr>
        <w:rPr>
          <w:rFonts w:hint="eastAsia" w:ascii="宋体" w:hAnsi="宋体" w:cs="Times New Roman"/>
          <w:color w:val="000000"/>
          <w:sz w:val="20"/>
          <w:szCs w:val="20"/>
        </w:rPr>
      </w:pPr>
      <w:r>
        <w:rPr>
          <w:rFonts w:hint="eastAsia" w:ascii="宋体" w:hAnsi="宋体" w:cs="Times New Roman"/>
          <w:color w:val="000000"/>
          <w:sz w:val="20"/>
          <w:szCs w:val="20"/>
        </w:rPr>
        <w:t>七、受审核方的运作场所和</w:t>
      </w:r>
      <w:r>
        <w:rPr>
          <w:rFonts w:hint="eastAsia" w:ascii="宋体" w:hAnsi="宋体" w:cs="Times New Roman"/>
          <w:color w:val="000000"/>
          <w:sz w:val="20"/>
          <w:szCs w:val="20"/>
          <w:lang w:eastAsia="zh-CN"/>
        </w:rPr>
        <w:t>远程</w:t>
      </w:r>
      <w:r>
        <w:rPr>
          <w:rFonts w:hint="eastAsia" w:ascii="宋体" w:hAnsi="宋体" w:cs="Times New Roman"/>
          <w:color w:val="000000"/>
          <w:sz w:val="20"/>
          <w:szCs w:val="20"/>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rPr>
                <w:rFonts w:hint="eastAsia" w:ascii="宋体" w:hAnsi="宋体" w:cs="Times New Roman"/>
                <w:color w:val="000000"/>
                <w:sz w:val="20"/>
                <w:szCs w:val="20"/>
              </w:rPr>
            </w:pPr>
            <w:r>
              <w:rPr>
                <w:rFonts w:hint="eastAsia" w:ascii="宋体" w:hAnsi="宋体" w:cs="Times New Roman"/>
                <w:color w:val="000000"/>
                <w:sz w:val="20"/>
                <w:szCs w:val="20"/>
              </w:rPr>
              <w:t>通过与主要管理者和相关人员交流, 重要场所走访；如一阶段非</w:t>
            </w:r>
            <w:r>
              <w:rPr>
                <w:rFonts w:hint="eastAsia" w:ascii="宋体" w:hAnsi="宋体" w:cs="Times New Roman"/>
                <w:color w:val="000000"/>
                <w:sz w:val="20"/>
                <w:szCs w:val="20"/>
                <w:lang w:eastAsia="zh-CN"/>
              </w:rPr>
              <w:t>远程</w:t>
            </w:r>
            <w:r>
              <w:rPr>
                <w:rFonts w:hint="eastAsia" w:ascii="宋体" w:hAnsi="宋体" w:cs="Times New Roman"/>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rPr>
                <w:rFonts w:hint="eastAsia" w:ascii="宋体" w:hAnsi="宋体" w:cs="Times New Roman"/>
                <w:color w:val="000000"/>
                <w:sz w:val="20"/>
                <w:szCs w:val="20"/>
              </w:rPr>
            </w:pPr>
            <w:r>
              <w:rPr>
                <w:rFonts w:hint="eastAsia" w:ascii="宋体" w:hAnsi="宋体" w:cs="Times New Roman"/>
                <w:color w:val="000000"/>
                <w:sz w:val="20"/>
                <w:szCs w:val="20"/>
              </w:rPr>
              <w:t>受审核方产品/服务;</w:t>
            </w:r>
          </w:p>
        </w:tc>
        <w:tc>
          <w:tcPr>
            <w:tcW w:w="6378" w:type="dxa"/>
          </w:tcPr>
          <w:p>
            <w:pPr>
              <w:rPr>
                <w:rFonts w:hint="eastAsia" w:ascii="宋体" w:hAnsi="宋体" w:cs="Times New Roman"/>
                <w:color w:val="000000"/>
                <w:sz w:val="20"/>
                <w:szCs w:val="20"/>
              </w:rPr>
            </w:pPr>
            <w:r>
              <w:rPr>
                <w:rFonts w:hint="eastAsia" w:ascii="宋体" w:hAnsi="宋体" w:cs="Times New Roman"/>
                <w:color w:val="000000"/>
                <w:sz w:val="20"/>
                <w:szCs w:val="20"/>
              </w:rPr>
              <w:t>产品：一般机械配件的加工</w:t>
            </w:r>
          </w:p>
          <w:p>
            <w:pPr>
              <w:rPr>
                <w:rFonts w:hint="eastAsia" w:ascii="宋体" w:hAnsi="宋体" w:cs="Times New Roman"/>
                <w:color w:val="000000"/>
                <w:sz w:val="20"/>
                <w:szCs w:val="20"/>
                <w:lang w:val="en-US" w:eastAsia="zh-CN"/>
              </w:rPr>
            </w:pPr>
            <w:r>
              <w:rPr>
                <w:rFonts w:hint="eastAsia" w:ascii="宋体" w:hAnsi="宋体" w:cs="Times New Roman"/>
                <w:color w:val="000000"/>
                <w:sz w:val="20"/>
                <w:szCs w:val="20"/>
              </w:rPr>
              <w:t>服务：</w:t>
            </w: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sz w:val="21"/>
                <w:szCs w:val="21"/>
                <w:lang w:val="en-US" w:eastAsia="zh-CN"/>
              </w:rPr>
              <w:t>行政</w:t>
            </w:r>
            <w:r>
              <w:rPr>
                <w:rFonts w:hint="eastAsia" w:ascii="宋体" w:hAnsi="宋体" w:cs="宋体"/>
                <w:sz w:val="21"/>
                <w:szCs w:val="21"/>
                <w:lang w:val="en-US" w:eastAsia="zh-CN"/>
              </w:rPr>
              <w:t>部、</w:t>
            </w:r>
            <w:r>
              <w:rPr>
                <w:rFonts w:hint="eastAsia" w:ascii="宋体" w:hAnsi="宋体" w:cs="宋体"/>
                <w:sz w:val="21"/>
                <w:szCs w:val="21"/>
                <w:lang w:eastAsia="zh-CN"/>
              </w:rPr>
              <w:t>生产技术部</w:t>
            </w:r>
            <w:r>
              <w:rPr>
                <w:rFonts w:hint="eastAsia" w:ascii="宋体" w:hAnsi="宋体" w:cs="宋体"/>
                <w:sz w:val="21"/>
                <w:szCs w:val="21"/>
                <w:lang w:val="en-US" w:eastAsia="zh-CN"/>
              </w:rPr>
              <w:t>、</w:t>
            </w:r>
            <w:r>
              <w:rPr>
                <w:rFonts w:hint="eastAsia" w:ascii="宋体" w:hAnsi="宋体" w:cs="宋体"/>
                <w:sz w:val="21"/>
                <w:szCs w:val="21"/>
                <w:lang w:eastAsia="zh-CN"/>
              </w:rPr>
              <w:t>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 w:val="21"/>
                <w:szCs w:val="21"/>
                <w:lang w:val="en-US" w:eastAsia="zh-CN"/>
              </w:rPr>
              <w:t>行政</w:t>
            </w:r>
            <w:r>
              <w:rPr>
                <w:rFonts w:hint="eastAsia" w:ascii="宋体" w:hAnsi="宋体" w:cs="宋体"/>
                <w:sz w:val="21"/>
                <w:szCs w:val="21"/>
                <w:lang w:val="en-US" w:eastAsia="zh-CN"/>
              </w:rPr>
              <w:t>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cs="宋体"/>
                <w:sz w:val="21"/>
                <w:szCs w:val="21"/>
                <w:lang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宋体" w:hAnsi="宋体" w:cs="宋体"/>
                <w:sz w:val="21"/>
                <w:szCs w:val="21"/>
                <w:lang w:val="en-US" w:eastAsia="zh-CN"/>
              </w:rPr>
              <w:t>重庆市璧山区来凤街道来凤村10组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cs="宋体"/>
                <w:sz w:val="21"/>
                <w:szCs w:val="21"/>
                <w:lang w:val="en-US" w:eastAsia="zh-CN"/>
              </w:rPr>
              <w:t>重庆市璧山区来凤街道来凤村10组</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rPr>
              <w:t>制造工艺</w:t>
            </w:r>
            <w:r>
              <w:rPr>
                <w:rFonts w:hint="eastAsia" w:ascii="宋体" w:hAnsi="宋体"/>
                <w:sz w:val="21"/>
                <w:szCs w:val="21"/>
                <w:highlight w:val="none"/>
                <w:lang w:val="en-US" w:eastAsia="zh-CN"/>
              </w:rPr>
              <w:t>流程：</w:t>
            </w:r>
          </w:p>
          <w:p>
            <w:pPr>
              <w:widowControl/>
              <w:spacing w:line="400" w:lineRule="exact"/>
              <w:rPr>
                <w:rFonts w:ascii="宋体"/>
                <w:color w:val="000000"/>
                <w:sz w:val="20"/>
                <w:szCs w:val="20"/>
              </w:rPr>
            </w:pPr>
            <w:r>
              <w:rPr>
                <w:rFonts w:hint="eastAsia" w:ascii="宋体" w:hAnsi="宋体"/>
                <w:sz w:val="21"/>
                <w:szCs w:val="21"/>
                <w:highlight w:val="none"/>
                <w:lang w:val="en-US" w:eastAsia="zh-CN"/>
              </w:rPr>
              <w:t>来料接件-----检验----机械加工（车、铣、钻等）----检验---入库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s="Times New Roman"/>
                <w:color w:val="000000"/>
                <w:sz w:val="20"/>
                <w:szCs w:val="20"/>
              </w:rPr>
            </w:pPr>
            <w:r>
              <w:rPr>
                <w:rFonts w:hint="eastAsia" w:ascii="宋体" w:hAnsi="宋体" w:cs="Times New Roman"/>
                <w:color w:val="000000"/>
                <w:sz w:val="20"/>
                <w:szCs w:val="20"/>
              </w:rPr>
              <w:t>关键过程有：机械加工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s="Times New Roman"/>
                <w:color w:val="000000"/>
                <w:sz w:val="20"/>
                <w:szCs w:val="20"/>
                <w:lang w:val="en-US" w:eastAsia="zh-CN"/>
              </w:rPr>
            </w:pPr>
            <w:r>
              <w:rPr>
                <w:rFonts w:hint="eastAsia" w:ascii="宋体" w:hAnsi="宋体" w:cs="Times New Roman"/>
                <w:color w:val="000000"/>
                <w:sz w:val="20"/>
                <w:szCs w:val="20"/>
              </w:rPr>
              <w:t>针对关键过程建立的控制文件有：机械加工</w:t>
            </w:r>
            <w:r>
              <w:rPr>
                <w:rFonts w:hint="eastAsia" w:ascii="宋体" w:hAnsi="宋体" w:cs="Times New Roman"/>
                <w:color w:val="000000"/>
                <w:sz w:val="20"/>
                <w:szCs w:val="20"/>
                <w:lang w:val="en-US" w:eastAsia="zh-CN"/>
              </w:rPr>
              <w:t>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s="Times New Roman"/>
                <w:color w:val="000000"/>
                <w:sz w:val="20"/>
                <w:szCs w:val="20"/>
                <w:lang w:val="en-US" w:eastAsia="zh-CN"/>
              </w:rPr>
            </w:pPr>
            <w:r>
              <w:rPr>
                <w:rFonts w:hint="eastAsia" w:ascii="宋体" w:hAnsi="宋体" w:cs="Times New Roman"/>
                <w:color w:val="000000"/>
                <w:sz w:val="20"/>
                <w:szCs w:val="20"/>
              </w:rPr>
              <w:t>需要确认过程：</w:t>
            </w:r>
            <w:r>
              <w:rPr>
                <w:rFonts w:hint="eastAsia" w:ascii="宋体" w:hAnsi="宋体" w:cs="Times New Roman"/>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s="Times New Roman"/>
                <w:color w:val="000000"/>
                <w:sz w:val="20"/>
                <w:szCs w:val="20"/>
              </w:rPr>
            </w:pPr>
            <w:r>
              <w:rPr>
                <w:rFonts w:hint="eastAsia" w:ascii="宋体" w:hAnsi="宋体" w:cs="Times New Roman"/>
                <w:color w:val="000000"/>
                <w:sz w:val="20"/>
                <w:szCs w:val="20"/>
              </w:rPr>
              <w:t>是否明确了过程的确认方法</w:t>
            </w:r>
            <w:r>
              <w:rPr>
                <w:rFonts w:hint="eastAsia" w:ascii="宋体" w:hAnsi="宋体" w:cs="Times New Roman"/>
                <w:color w:val="000000"/>
                <w:sz w:val="20"/>
                <w:szCs w:val="20"/>
                <w:lang w:eastAsia="zh-CN"/>
              </w:rPr>
              <w:t>☑</w:t>
            </w:r>
            <w:r>
              <w:rPr>
                <w:rFonts w:hint="eastAsia" w:ascii="宋体" w:hAnsi="宋体" w:cs="Times New Roman"/>
                <w:color w:val="000000"/>
                <w:sz w:val="20"/>
                <w:szCs w:val="20"/>
              </w:rPr>
              <w:t>是□否是否明确了过程的确认准则</w:t>
            </w:r>
            <w:r>
              <w:rPr>
                <w:rFonts w:hint="eastAsia" w:ascii="宋体" w:hAnsi="宋体" w:cs="Times New Roman"/>
                <w:color w:val="000000"/>
                <w:sz w:val="20"/>
                <w:szCs w:val="20"/>
                <w:lang w:eastAsia="zh-CN"/>
              </w:rPr>
              <w:t>☑</w:t>
            </w:r>
            <w:r>
              <w:rPr>
                <w:rFonts w:hint="eastAsia" w:ascii="宋体" w:hAnsi="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Times New Roman"/>
                <w:kern w:val="2"/>
                <w:sz w:val="21"/>
                <w:szCs w:val="21"/>
                <w:highlight w:val="none"/>
                <w:lang w:val="en-US" w:eastAsia="zh-CN" w:bidi="ar-SA"/>
              </w:rPr>
              <w:t>液压机800T、液压机500T、冲床100T、冲床125T、冲床35T、冲床16T、钻孔机、磨床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s="宋体"/>
                <w:color w:val="000000"/>
                <w:sz w:val="21"/>
                <w:szCs w:val="21"/>
                <w:highlight w:val="none"/>
                <w:lang w:val="en-US" w:eastAsia="zh-CN"/>
              </w:rPr>
              <w:t>游标卡尺、高度尺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cs="宋体"/>
                <w:sz w:val="21"/>
                <w:szCs w:val="21"/>
                <w:lang w:eastAsia="zh-CN"/>
              </w:rPr>
              <w:t>生产技术部</w:t>
            </w:r>
          </w:p>
          <w:p>
            <w:pPr>
              <w:spacing w:line="360" w:lineRule="auto"/>
              <w:rPr>
                <w:rFonts w:hint="eastAsia" w:ascii="宋体" w:hAnsi="宋体" w:cs="宋体"/>
                <w:sz w:val="21"/>
                <w:szCs w:val="21"/>
                <w:lang w:eastAsia="zh-CN"/>
              </w:rPr>
            </w:pPr>
            <w:r>
              <w:rPr>
                <w:rFonts w:hint="eastAsia" w:ascii="宋体" w:hAnsi="宋体"/>
                <w:b/>
                <w:color w:val="000000"/>
                <w:sz w:val="20"/>
                <w:szCs w:val="20"/>
              </w:rPr>
              <w:t>重点审核过程：</w:t>
            </w:r>
            <w:r>
              <w:rPr>
                <w:rFonts w:hint="eastAsia" w:ascii="宋体" w:hAnsi="宋体" w:cs="宋体"/>
                <w:sz w:val="21"/>
                <w:szCs w:val="21"/>
                <w:lang w:eastAsia="zh-CN"/>
              </w:rPr>
              <w:t>产品的控制；产品放行、不合格产品</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cs="宋体"/>
                <w:sz w:val="21"/>
                <w:szCs w:val="21"/>
                <w:lang w:val="en-US" w:eastAsia="zh-CN"/>
              </w:rPr>
              <w:t>生产远程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ascii="Times New Roman" w:hAnsi="Times New Roman" w:cs="Times New Roman"/>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w:t>
            </w:r>
            <w:r>
              <w:rPr>
                <w:rFonts w:hint="eastAsia"/>
                <w:sz w:val="21"/>
                <w:szCs w:val="21"/>
                <w:lang w:eastAsia="zh-CN"/>
              </w:rPr>
              <w:t>2019年12月25日</w:t>
            </w:r>
            <w:r>
              <w:rPr>
                <w:rFonts w:hint="eastAsia" w:ascii="Times New Roman" w:hAnsi="Times New Roman" w:cs="Times New Roman"/>
                <w:szCs w:val="21"/>
              </w:rPr>
              <w:t>进行了内部审核。内部审核组组成:</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组长：</w:t>
            </w:r>
            <w:r>
              <w:rPr>
                <w:rFonts w:hint="eastAsia" w:ascii="Times New Roman" w:hAnsi="Times New Roman" w:cs="Times New Roman"/>
                <w:szCs w:val="21"/>
              </w:rPr>
              <w:t xml:space="preserve"> </w:t>
            </w:r>
            <w:r>
              <w:rPr>
                <w:rFonts w:hint="eastAsia"/>
                <w:sz w:val="21"/>
                <w:szCs w:val="21"/>
                <w:lang w:eastAsia="zh-CN"/>
              </w:rPr>
              <w:t>詹秀霞</w:t>
            </w:r>
            <w:r>
              <w:rPr>
                <w:rFonts w:hint="eastAsia"/>
                <w:sz w:val="21"/>
                <w:szCs w:val="21"/>
              </w:rPr>
              <w:t xml:space="preserve"> </w:t>
            </w:r>
          </w:p>
          <w:p>
            <w:pPr>
              <w:spacing w:line="260" w:lineRule="exact"/>
              <w:rPr>
                <w:rFonts w:ascii="宋体"/>
                <w:b/>
                <w:color w:val="000000"/>
                <w:sz w:val="20"/>
                <w:szCs w:val="20"/>
              </w:rPr>
            </w:pP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hint="eastAsia" w:ascii="Times New Roman" w:hAnsi="Times New Roman" w:cs="Times New Roman"/>
                <w:szCs w:val="21"/>
                <w:lang w:eastAsia="zh-CN"/>
              </w:rPr>
              <w:t>组</w:t>
            </w:r>
            <w:r>
              <w:rPr>
                <w:rFonts w:hint="eastAsia" w:ascii="Times New Roman" w:hAnsi="Times New Roman" w:cs="Times New Roman"/>
                <w:szCs w:val="21"/>
              </w:rPr>
              <w:t>员：</w:t>
            </w:r>
            <w:r>
              <w:rPr>
                <w:rFonts w:hint="eastAsia"/>
                <w:sz w:val="21"/>
                <w:szCs w:val="21"/>
                <w:lang w:eastAsia="zh-CN"/>
              </w:rPr>
              <w:t>叶太双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p>
          <w:p>
            <w:pPr>
              <w:spacing w:line="400" w:lineRule="exact"/>
              <w:rPr>
                <w:szCs w:val="21"/>
              </w:rPr>
            </w:pPr>
            <w:r>
              <w:rPr>
                <w:rFonts w:ascii="宋体" w:hAnsi="宋体"/>
                <w:b/>
                <w:color w:val="000000"/>
                <w:sz w:val="20"/>
                <w:szCs w:val="20"/>
              </w:rPr>
              <w:t xml:space="preserve"> </w:t>
            </w:r>
            <w:r>
              <w:rPr>
                <w:rFonts w:hint="eastAsia"/>
                <w:szCs w:val="21"/>
              </w:rPr>
              <w:t>审核范围:管理体系涉及的公司所有部门及活动场所。</w:t>
            </w:r>
          </w:p>
          <w:p>
            <w:pPr>
              <w:spacing w:line="26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w:t>
            </w:r>
            <w:r>
              <w:rPr>
                <w:rFonts w:hint="eastAsia"/>
                <w:szCs w:val="21"/>
                <w:lang w:eastAsia="zh-CN"/>
              </w:rPr>
              <w:t>远程</w:t>
            </w:r>
            <w:r>
              <w:rPr>
                <w:rFonts w:hint="eastAsia"/>
                <w:szCs w:val="21"/>
              </w:rPr>
              <w:t>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highlight w:val="none"/>
                <w:lang w:eastAsia="zh-CN"/>
              </w:rPr>
              <w:t>2020年01月18日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cs="Times New Roman"/>
          <w:b/>
          <w:color w:val="000000"/>
          <w:sz w:val="20"/>
          <w:szCs w:val="20"/>
          <w:u w:val="single"/>
        </w:rPr>
      </w:pPr>
      <w:r>
        <w:rPr>
          <w:rFonts w:ascii="宋体" w:hAnsi="宋体"/>
          <w:b/>
          <w:color w:val="000000"/>
          <w:sz w:val="20"/>
          <w:szCs w:val="20"/>
        </w:rPr>
        <w:t>QMS:</w:t>
      </w:r>
      <w:r>
        <w:rPr>
          <w:rFonts w:ascii="宋体" w:hAnsi="宋体" w:cs="Times New Roman"/>
          <w:b/>
          <w:color w:val="000000"/>
          <w:sz w:val="20"/>
          <w:szCs w:val="20"/>
          <w:u w:val="single"/>
        </w:rPr>
        <w:t>一般机械配件的加工</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01" w:firstLineChars="100"/>
        <w:rPr>
          <w:rFonts w:ascii="宋体"/>
          <w:b/>
          <w:bCs/>
          <w:color w:val="000000"/>
          <w:sz w:val="26"/>
          <w:szCs w:val="26"/>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1860550</wp:posOffset>
            </wp:positionH>
            <wp:positionV relativeFrom="paragraph">
              <wp:posOffset>329565</wp:posOffset>
            </wp:positionV>
            <wp:extent cx="593725" cy="249555"/>
            <wp:effectExtent l="0" t="0" r="3175" b="381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593725" cy="24955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03" w:firstLineChars="400"/>
        <w:rPr>
          <w:rFonts w:ascii="宋体"/>
          <w:b/>
          <w:color w:val="000000"/>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2565400</wp:posOffset>
            </wp:positionH>
            <wp:positionV relativeFrom="paragraph">
              <wp:posOffset>78740</wp:posOffset>
            </wp:positionV>
            <wp:extent cx="699770" cy="212725"/>
            <wp:effectExtent l="0" t="0" r="11430" b="3175"/>
            <wp:wrapSquare wrapText="bothSides"/>
            <wp:docPr id="4" name="图片 4" descr="5f767c6e0deac47b23ab154738ba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f767c6e0deac47b23ab154738ba749"/>
                    <pic:cNvPicPr>
                      <a:picLocks noChangeAspect="1"/>
                    </pic:cNvPicPr>
                  </pic:nvPicPr>
                  <pic:blipFill>
                    <a:blip r:embed="rId7"/>
                    <a:stretch>
                      <a:fillRect/>
                    </a:stretch>
                  </pic:blipFill>
                  <pic:spPr>
                    <a:xfrm>
                      <a:off x="0" y="0"/>
                      <a:ext cx="699770" cy="212725"/>
                    </a:xfrm>
                    <a:prstGeom prst="rect">
                      <a:avLst/>
                    </a:prstGeom>
                  </pic:spPr>
                </pic:pic>
              </a:graphicData>
            </a:graphic>
          </wp:anchor>
        </w:drawing>
      </w: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1847850</wp:posOffset>
            </wp:positionH>
            <wp:positionV relativeFrom="paragraph">
              <wp:posOffset>635</wp:posOffset>
            </wp:positionV>
            <wp:extent cx="608330" cy="273050"/>
            <wp:effectExtent l="0" t="0" r="1270" b="6350"/>
            <wp:wrapSquare wrapText="bothSides"/>
            <wp:docPr id="1" name="图片 1" descr="微信图片_2020062215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622152810"/>
                    <pic:cNvPicPr>
                      <a:picLocks noChangeAspect="1"/>
                    </pic:cNvPicPr>
                  </pic:nvPicPr>
                  <pic:blipFill>
                    <a:blip r:embed="rId8"/>
                    <a:srcRect l="1100" r="21452" b="12517"/>
                    <a:stretch>
                      <a:fillRect/>
                    </a:stretch>
                  </pic:blipFill>
                  <pic:spPr>
                    <a:xfrm>
                      <a:off x="0" y="0"/>
                      <a:ext cx="608330" cy="27305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2020.07.18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4" w:name="_GoBack"/>
            <w:bookmarkEnd w:id="24"/>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w:t>
            </w:r>
            <w:r>
              <w:rPr>
                <w:rFonts w:hint="eastAsia"/>
                <w:b/>
                <w:color w:val="000000"/>
                <w:spacing w:val="-10"/>
                <w:szCs w:val="21"/>
                <w:lang w:eastAsia="zh-CN"/>
              </w:rPr>
              <w:t>远程</w:t>
            </w:r>
            <w:r>
              <w:rPr>
                <w:rFonts w:hint="eastAsia"/>
                <w:b/>
                <w:color w:val="000000"/>
                <w:spacing w:val="-10"/>
                <w:szCs w:val="21"/>
              </w:rPr>
              <w:t>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D434A3"/>
    <w:rsid w:val="3A4604DE"/>
    <w:rsid w:val="433963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2020-07-30T04:08:24Z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