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203017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天正阀门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