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10368-2024-O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赣州中能实业有限公司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温红玲</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91360722566292903G</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赣州中能实业有限公司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江西省赣州市信丰县工业园区星村路</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江西省赣州市信丰县工业园区星村路</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O:N-甲基吡咯烷酮（NMP）和γ-丁内酯（GBL）的生产所涉及场所的相关职业健康安全管理活动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赣州中能实业有限公司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江西省赣州市信丰县工业园区星村路</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江西省赣州市信丰县工业园区星村路</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O:N-甲基吡咯烷酮（NMP）和γ-丁内酯（GBL）的生产所涉及场所的相关职业健康安全管理活动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6870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