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忆玺智能科技(杭州)有限公司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王献华</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王钰棠，卢晶，王丽娟</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2025-04-10 8:30:00上午至2025-04-10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浙江省杭州市富阳区银湖街道中国智谷富春园区12号楼10楼1008室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浙江省杭州市富阳区银湖街道中国智谷富春园区C2幢2楼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2025年04月11日 上午至2025年04月12日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