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center"/>
        <w:rPr>
          <w:rFonts w:hint="eastAsia" w:ascii="宋体" w:hAnsi="宋体"/>
          <w:sz w:val="32"/>
        </w:rPr>
      </w:pPr>
      <w:r>
        <w:rPr>
          <w:rFonts w:hint="eastAsia" w:ascii="宋体" w:hAnsi="宋体"/>
          <w:sz w:val="32"/>
          <w:lang w:val="en-US" w:eastAsia="zh-CN"/>
        </w:rPr>
        <w:t xml:space="preserve"> </w:t>
      </w:r>
      <w:r>
        <w:rPr>
          <w:rFonts w:hint="eastAsia" w:ascii="宋体" w:hAnsi="宋体"/>
          <w:sz w:val="32"/>
        </w:rPr>
        <w:t>认 证 企 业：</w:t>
      </w:r>
      <w:bookmarkStart w:id="1" w:name="组织名称"/>
      <w:r>
        <w:rPr>
          <w:rFonts w:hint="eastAsia" w:ascii="宋体" w:hAnsi="宋体"/>
          <w:sz w:val="32"/>
          <w:u w:val="single"/>
        </w:rPr>
        <w:t>陕西大风印务科技有限公司</w:t>
      </w:r>
      <w:bookmarkEnd w:id="1"/>
    </w:p>
    <w:p>
      <w:pPr>
        <w:spacing w:line="360" w:lineRule="auto"/>
        <w:ind w:firstLine="1280" w:firstLineChars="400"/>
        <w:jc w:val="both"/>
        <w:rPr>
          <w:rFonts w:hint="eastAsia" w:ascii="宋体" w:hAnsi="宋体"/>
          <w:sz w:val="32"/>
        </w:rPr>
      </w:pPr>
      <w:r>
        <w:rPr>
          <w:rFonts w:hint="eastAsia" w:ascii="宋体" w:hAnsi="宋体"/>
          <w:sz w:val="32"/>
        </w:rPr>
        <w:t>编</w:t>
      </w:r>
      <w:r>
        <w:rPr>
          <w:rFonts w:hint="eastAsia" w:ascii="宋体" w:hAnsi="宋体"/>
          <w:sz w:val="32"/>
          <w:lang w:val="en-US" w:eastAsia="zh-CN"/>
        </w:rPr>
        <w:t xml:space="preserve">       </w:t>
      </w:r>
      <w:r>
        <w:rPr>
          <w:rFonts w:hint="eastAsia" w:ascii="宋体" w:hAnsi="宋体"/>
          <w:sz w:val="32"/>
        </w:rPr>
        <w:t>号</w:t>
      </w:r>
      <w:r>
        <w:rPr>
          <w:rFonts w:hint="eastAsia" w:ascii="宋体" w:hAnsi="宋体"/>
          <w:sz w:val="32"/>
        </w:rPr>
        <w:t>：</w:t>
      </w:r>
      <w:bookmarkStart w:id="2" w:name="合同编号"/>
      <w:r>
        <w:rPr>
          <w:rFonts w:hint="eastAsia" w:ascii="宋体" w:hAnsi="宋体"/>
          <w:sz w:val="32"/>
          <w:u w:val="single"/>
        </w:rPr>
        <w:t>0023-2018-2020</w:t>
      </w:r>
      <w:bookmarkEnd w:id="2"/>
    </w:p>
    <w:p>
      <w:pPr>
        <w:spacing w:line="360" w:lineRule="auto"/>
        <w:ind w:firstLine="1280" w:firstLineChars="400"/>
        <w:jc w:val="both"/>
        <w:rPr>
          <w:rFonts w:hint="eastAsia" w:ascii="宋体" w:hAnsi="宋体"/>
          <w:sz w:val="32"/>
        </w:rPr>
      </w:pPr>
      <w:r>
        <w:rPr>
          <w:rFonts w:hint="eastAsia" w:ascii="宋体" w:hAnsi="宋体"/>
          <w:sz w:val="32"/>
        </w:rPr>
        <w:t>审</w:t>
      </w:r>
      <w:r>
        <w:rPr>
          <w:rFonts w:hint="eastAsia" w:ascii="宋体" w:hAnsi="宋体"/>
          <w:sz w:val="32"/>
          <w:lang w:val="en-US" w:eastAsia="zh-CN"/>
        </w:rPr>
        <w:t xml:space="preserve"> </w:t>
      </w:r>
      <w:r>
        <w:rPr>
          <w:rFonts w:hint="eastAsia" w:ascii="宋体" w:hAnsi="宋体"/>
          <w:sz w:val="32"/>
        </w:rPr>
        <w:t>核</w:t>
      </w:r>
      <w:r>
        <w:rPr>
          <w:rFonts w:hint="eastAsia" w:ascii="宋体" w:hAnsi="宋体"/>
          <w:sz w:val="32"/>
          <w:lang w:val="en-US" w:eastAsia="zh-CN"/>
        </w:rPr>
        <w:t xml:space="preserve"> </w:t>
      </w:r>
      <w:r>
        <w:rPr>
          <w:rFonts w:hint="eastAsia" w:ascii="宋体" w:hAnsi="宋体"/>
          <w:sz w:val="32"/>
        </w:rPr>
        <w:t>类</w:t>
      </w:r>
      <w:r>
        <w:rPr>
          <w:rFonts w:hint="eastAsia" w:ascii="宋体" w:hAnsi="宋体"/>
          <w:sz w:val="32"/>
          <w:lang w:val="en-US" w:eastAsia="zh-CN"/>
        </w:rPr>
        <w:t xml:space="preserve"> </w:t>
      </w:r>
      <w:r>
        <w:rPr>
          <w:rFonts w:hint="eastAsia" w:ascii="宋体" w:hAnsi="宋体"/>
          <w:sz w:val="32"/>
        </w:rPr>
        <w:t>型：</w:t>
      </w:r>
      <w:r>
        <w:rPr>
          <w:rFonts w:hint="eastAsia" w:ascii="宋体" w:hAnsi="宋体"/>
          <w:sz w:val="32"/>
          <w:u w:val="single"/>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0023-2018-2020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746"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3325"/>
        <w:gridCol w:w="1638"/>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企业名称</w:t>
            </w:r>
          </w:p>
        </w:tc>
        <w:tc>
          <w:tcPr>
            <w:tcW w:w="3325" w:type="dxa"/>
            <w:vAlign w:val="center"/>
          </w:tcPr>
          <w:p>
            <w:pPr>
              <w:tabs>
                <w:tab w:val="left" w:pos="880"/>
              </w:tabs>
              <w:autoSpaceDE w:val="0"/>
              <w:autoSpaceDN w:val="0"/>
              <w:adjustRightInd w:val="0"/>
              <w:spacing w:before="35" w:line="276" w:lineRule="auto"/>
              <w:ind w:right="161"/>
              <w:jc w:val="left"/>
              <w:rPr>
                <w:rFonts w:hint="eastAsia" w:cs="宋体" w:asciiTheme="minorEastAsia" w:hAnsiTheme="minorEastAsia"/>
                <w:kern w:val="0"/>
                <w:szCs w:val="21"/>
              </w:rPr>
            </w:pPr>
            <w:r>
              <w:rPr>
                <w:rFonts w:hint="eastAsia" w:cs="宋体" w:asciiTheme="minorEastAsia" w:hAnsiTheme="minorEastAsia"/>
                <w:kern w:val="0"/>
                <w:szCs w:val="21"/>
              </w:rPr>
              <w:t>陕西大风印务科技股份有限公司</w:t>
            </w:r>
          </w:p>
        </w:tc>
        <w:tc>
          <w:tcPr>
            <w:tcW w:w="1638"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企业联系人</w:t>
            </w:r>
          </w:p>
        </w:tc>
        <w:tc>
          <w:tcPr>
            <w:tcW w:w="1987"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lang w:eastAsia="zh-CN"/>
              </w:rPr>
              <w:t>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认证证书编号</w:t>
            </w:r>
          </w:p>
        </w:tc>
        <w:tc>
          <w:tcPr>
            <w:tcW w:w="3325" w:type="dxa"/>
            <w:vAlign w:val="top"/>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rPr>
            </w:pPr>
            <w:bookmarkStart w:id="4" w:name="证书编号"/>
            <w:bookmarkEnd w:id="4"/>
            <w:r>
              <w:rPr>
                <w:rFonts w:hint="eastAsia" w:cs="宋体" w:asciiTheme="minorEastAsia" w:hAnsiTheme="minorEastAsia"/>
                <w:kern w:val="0"/>
                <w:szCs w:val="21"/>
              </w:rPr>
              <w:t>ISC-</w:t>
            </w:r>
            <w:r>
              <w:rPr>
                <w:rFonts w:hint="eastAsia" w:cs="宋体" w:asciiTheme="minorEastAsia" w:hAnsiTheme="minorEastAsia"/>
                <w:kern w:val="0"/>
                <w:szCs w:val="21"/>
                <w:lang w:val="en-US" w:eastAsia="zh-CN"/>
              </w:rPr>
              <w:t>2018- 0227</w:t>
            </w:r>
          </w:p>
        </w:tc>
        <w:tc>
          <w:tcPr>
            <w:tcW w:w="1638" w:type="dxa"/>
            <w:vAlign w:val="top"/>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证书有效期</w:t>
            </w:r>
          </w:p>
        </w:tc>
        <w:tc>
          <w:tcPr>
            <w:tcW w:w="1987" w:type="dxa"/>
            <w:vAlign w:val="top"/>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bookmarkStart w:id="5" w:name="证书有效期"/>
            <w:bookmarkEnd w:id="5"/>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年0</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28</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25" w:type="dxa"/>
            <w:vAlign w:val="top"/>
          </w:tcPr>
          <w:p>
            <w:pPr>
              <w:tabs>
                <w:tab w:val="left" w:pos="880"/>
              </w:tabs>
              <w:autoSpaceDE w:val="0"/>
              <w:autoSpaceDN w:val="0"/>
              <w:adjustRightInd w:val="0"/>
              <w:spacing w:before="35" w:line="360" w:lineRule="auto"/>
              <w:ind w:right="161" w:rightChars="0" w:firstLine="210" w:firstLineChars="100"/>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次监督审核</w:t>
            </w:r>
          </w:p>
        </w:tc>
        <w:tc>
          <w:tcPr>
            <w:tcW w:w="163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1987"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96"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25" w:type="dxa"/>
            <w:vAlign w:val="top"/>
          </w:tcPr>
          <w:p>
            <w:pPr>
              <w:tabs>
                <w:tab w:val="left" w:pos="880"/>
              </w:tabs>
              <w:autoSpaceDE w:val="0"/>
              <w:autoSpaceDN w:val="0"/>
              <w:adjustRightInd w:val="0"/>
              <w:spacing w:before="35" w:line="360" w:lineRule="auto"/>
              <w:ind w:right="161"/>
              <w:rPr>
                <w:rFonts w:hint="eastAsia" w:ascii="宋体" w:hAnsi="宋体"/>
                <w:szCs w:val="21"/>
              </w:rPr>
            </w:pPr>
            <w:r>
              <w:rPr>
                <w:rFonts w:hint="eastAsia" w:ascii="宋体" w:hAnsi="宋体"/>
                <w:szCs w:val="21"/>
                <w:lang w:val="en-US" w:eastAsia="zh-CN"/>
              </w:rPr>
              <w:t xml:space="preserve"> 李学弘 </w:t>
            </w:r>
            <w:r>
              <w:rPr>
                <w:rFonts w:hint="eastAsia" w:ascii="宋体" w:hAnsi="宋体"/>
                <w:szCs w:val="21"/>
              </w:rPr>
              <w:t>ISC[S]0117</w:t>
            </w:r>
          </w:p>
          <w:p>
            <w:pPr>
              <w:tabs>
                <w:tab w:val="left" w:pos="880"/>
              </w:tabs>
              <w:autoSpaceDE w:val="0"/>
              <w:autoSpaceDN w:val="0"/>
              <w:adjustRightInd w:val="0"/>
              <w:spacing w:before="35" w:line="360" w:lineRule="auto"/>
              <w:ind w:right="161" w:firstLine="210" w:firstLineChars="100"/>
              <w:rPr>
                <w:rFonts w:cs="宋体" w:asciiTheme="minorEastAsia" w:hAnsiTheme="minorEastAsia"/>
                <w:kern w:val="0"/>
                <w:szCs w:val="21"/>
              </w:rPr>
            </w:pPr>
            <w:r>
              <w:rPr>
                <w:rFonts w:hint="eastAsia"/>
                <w:color w:val="000000"/>
                <w:szCs w:val="21"/>
                <w:lang w:eastAsia="zh-CN"/>
              </w:rPr>
              <w:t>李</w:t>
            </w:r>
            <w:r>
              <w:rPr>
                <w:rFonts w:hint="eastAsia"/>
                <w:color w:val="000000"/>
                <w:szCs w:val="21"/>
                <w:lang w:val="en-US" w:eastAsia="zh-CN"/>
              </w:rPr>
              <w:t xml:space="preserve">琪 </w:t>
            </w:r>
            <w:r>
              <w:rPr>
                <w:rFonts w:hint="eastAsia" w:ascii="宋体" w:hAnsi="宋体"/>
                <w:szCs w:val="21"/>
              </w:rPr>
              <w:t>ISC[S]0040</w:t>
            </w:r>
          </w:p>
        </w:tc>
        <w:tc>
          <w:tcPr>
            <w:tcW w:w="163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87" w:type="dxa"/>
            <w:vAlign w:val="top"/>
          </w:tcPr>
          <w:p>
            <w:pPr>
              <w:spacing w:line="276" w:lineRule="auto"/>
              <w:rPr>
                <w:rFonts w:cs="宋体" w:asciiTheme="minorEastAsia" w:hAnsiTheme="minorEastAsia"/>
                <w:kern w:val="0"/>
                <w:szCs w:val="21"/>
              </w:rPr>
            </w:pPr>
            <w:r>
              <w:rPr>
                <w:rFonts w:hint="eastAsia" w:ascii="宋体"/>
              </w:rPr>
              <w:t>品质部</w:t>
            </w:r>
            <w:r>
              <w:rPr>
                <w:rFonts w:hint="eastAsia" w:ascii="宋体"/>
                <w:lang w:eastAsia="zh-CN"/>
              </w:rPr>
              <w:t>、</w:t>
            </w:r>
            <w:r>
              <w:rPr>
                <w:rFonts w:hint="eastAsia" w:ascii="宋体"/>
                <w:bCs/>
                <w:lang w:val="en-US" w:eastAsia="zh-CN"/>
              </w:rPr>
              <w:t>行政</w:t>
            </w:r>
            <w:r>
              <w:rPr>
                <w:rFonts w:hint="eastAsia" w:ascii="宋体"/>
                <w:bCs/>
              </w:rPr>
              <w:t>部</w:t>
            </w:r>
            <w:r>
              <w:rPr>
                <w:rFonts w:hint="eastAsia" w:ascii="宋体"/>
                <w:bCs/>
                <w:lang w:eastAsia="zh-CN"/>
              </w:rPr>
              <w:t>、</w:t>
            </w:r>
            <w:r>
              <w:rPr>
                <w:rFonts w:hint="eastAsia" w:ascii="宋体"/>
                <w:bCs/>
              </w:rPr>
              <w:t>生产部</w:t>
            </w:r>
            <w:r>
              <w:rPr>
                <w:rFonts w:hint="eastAsia" w:ascii="宋体"/>
                <w:bCs/>
                <w:lang w:eastAsia="zh-CN"/>
              </w:rPr>
              <w:t>、</w:t>
            </w:r>
            <w:r>
              <w:rPr>
                <w:rFonts w:hint="eastAsia" w:cs="宋体" w:asciiTheme="minorEastAsia" w:hAnsiTheme="minorEastAsia"/>
                <w:kern w:val="0"/>
                <w:szCs w:val="21"/>
                <w:lang w:val="en-US" w:eastAsia="zh-CN"/>
              </w:rPr>
              <w:t>营销中心、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为有效评价公司测量管理体系认证后一年以来运行情况，20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14</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eastAsia="宋体" w:cs="Times New Roman"/>
          <w:szCs w:val="21"/>
        </w:rPr>
        <w:t>原材料、</w:t>
      </w:r>
      <w:r>
        <w:rPr>
          <w:rFonts w:hint="eastAsia" w:ascii="宋体" w:hAnsi="宋体" w:eastAsia="宋体" w:cs="Times New Roman"/>
          <w:szCs w:val="21"/>
          <w:lang w:eastAsia="zh-CN"/>
        </w:rPr>
        <w:t>印刷</w:t>
      </w:r>
      <w:r>
        <w:rPr>
          <w:rFonts w:hint="eastAsia" w:ascii="宋体" w:hAnsi="宋体" w:eastAsia="宋体" w:cs="Times New Roman"/>
          <w:szCs w:val="21"/>
        </w:rPr>
        <w:t>生产线</w:t>
      </w:r>
      <w:r>
        <w:rPr>
          <w:rFonts w:hint="eastAsia" w:ascii="宋体" w:hAnsi="宋体" w:eastAsia="宋体" w:cs="Times New Roman"/>
          <w:szCs w:val="21"/>
          <w:lang w:eastAsia="zh-CN"/>
        </w:rPr>
        <w:t>及成品检验实验室的</w:t>
      </w:r>
      <w:r>
        <w:rPr>
          <w:rFonts w:hint="eastAsia" w:ascii="宋体" w:hAnsi="宋体" w:eastAsia="宋体" w:cs="Times New Roman"/>
          <w:szCs w:val="21"/>
        </w:rPr>
        <w:t>测量过程</w:t>
      </w:r>
      <w:r>
        <w:rPr>
          <w:rFonts w:hint="eastAsia" w:ascii="宋体" w:hAnsi="宋体"/>
          <w:szCs w:val="21"/>
        </w:rPr>
        <w:t>以及量值溯源</w:t>
      </w:r>
      <w:r>
        <w:rPr>
          <w:rFonts w:hint="eastAsia" w:ascii="宋体" w:hAnsi="宋体"/>
          <w:szCs w:val="21"/>
          <w:lang w:eastAsia="zh-CN"/>
        </w:rPr>
        <w:t>情况</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numPr>
          <w:numId w:val="0"/>
        </w:numPr>
        <w:spacing w:line="360" w:lineRule="auto"/>
        <w:ind w:firstLine="420" w:firstLineChars="200"/>
        <w:jc w:val="both"/>
        <w:rPr>
          <w:rFonts w:cs="宋体" w:asciiTheme="minorEastAsia" w:hAnsiTheme="minorEastAsia"/>
          <w:bCs/>
          <w:kern w:val="0"/>
          <w:szCs w:val="21"/>
        </w:rPr>
      </w:pPr>
      <w:r>
        <w:rPr>
          <w:rFonts w:hint="eastAsia" w:cs="宋体" w:asciiTheme="minorEastAsia" w:hAnsiTheme="minorEastAsia"/>
          <w:bCs/>
          <w:kern w:val="0"/>
          <w:szCs w:val="21"/>
        </w:rPr>
        <w:t>在审核过程中了解到，该公司于201</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12</w:t>
      </w:r>
      <w:r>
        <w:rPr>
          <w:rFonts w:hint="eastAsia" w:cs="宋体" w:asciiTheme="minorEastAsia" w:hAnsiTheme="minorEastAsia"/>
          <w:bCs/>
          <w:kern w:val="0"/>
          <w:szCs w:val="21"/>
        </w:rPr>
        <w:t>日 组织了内部审核，对内审中提出的</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项不符合制定了纠正措施，并已于201</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日进行了整改。201</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0日进行了管理评审，对测量管理体系进行了有效评价，确保了测量管理体系的运行质量。</w:t>
      </w:r>
    </w:p>
    <w:p>
      <w:pPr>
        <w:widowControl/>
        <w:spacing w:line="360"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rPr>
          <w:rFonts w:ascii="宋体" w:hAnsi="宋体"/>
          <w:bCs/>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陕西大风印务科技有限公司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2个关键测量过程：纸板定量的测定、纸板厚度测量过程，体系运行一年来未有新增测量过程，对高度控制的测量过程能进行有效性控制、监视，记录、监视控制图齐全，完整；抽查了纸板定量的测定过程控制的监视记录，测量过程监视统计记录表及监视控制图。</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纸板定量测量</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纸板定量测量</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纸板定量测量</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numId w:val="0"/>
        </w:numPr>
        <w:spacing w:line="276" w:lineRule="auto"/>
        <w:ind w:leftChars="0"/>
        <w:rPr>
          <w:rFonts w:cs="宋体" w:asciiTheme="minorEastAsia" w:hAnsiTheme="minorEastAsia"/>
          <w:bCs/>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w:t>
      </w:r>
      <w:r>
        <w:rPr>
          <w:rFonts w:hint="eastAsia" w:asciiTheme="minorEastAsia" w:hAnsiTheme="minorEastAsia"/>
          <w:bCs/>
          <w:szCs w:val="21"/>
          <w:lang w:val="en-US" w:eastAsia="zh-CN"/>
        </w:rPr>
        <w:t>上次监督</w:t>
      </w:r>
      <w:r>
        <w:rPr>
          <w:rFonts w:hint="eastAsia" w:asciiTheme="minorEastAsia" w:hAnsiTheme="minorEastAsia"/>
          <w:bCs/>
          <w:szCs w:val="21"/>
        </w:rPr>
        <w:t>审核时提出的的不符合项的纠正措施情况有表述</w:t>
      </w:r>
      <w:r>
        <w:rPr>
          <w:rFonts w:cs="宋体" w:asciiTheme="minorEastAsia" w:hAnsiTheme="minorEastAsia"/>
          <w:bCs/>
          <w:kern w:val="0"/>
          <w:szCs w:val="21"/>
        </w:rPr>
        <w:t>：</w:t>
      </w:r>
    </w:p>
    <w:p>
      <w:pPr>
        <w:pStyle w:val="10"/>
        <w:widowControl/>
        <w:spacing w:line="360" w:lineRule="auto"/>
        <w:ind w:left="0" w:leftChars="0" w:firstLine="210" w:firstLineChars="100"/>
        <w:jc w:val="left"/>
        <w:rPr>
          <w:rFonts w:cs="宋体" w:asciiTheme="minorEastAsia" w:hAnsiTheme="minorEastAsia"/>
          <w:kern w:val="0"/>
          <w:szCs w:val="21"/>
        </w:rPr>
      </w:pPr>
      <w:r>
        <w:rPr>
          <w:rFonts w:hint="eastAsia" w:cs="宋体"/>
          <w:kern w:val="0"/>
        </w:rPr>
        <w:t>公司已针对上一年度开具的不符合项</w:t>
      </w:r>
      <w:r>
        <w:rPr>
          <w:rFonts w:hint="eastAsia" w:cs="宋体"/>
          <w:kern w:val="0"/>
          <w:lang w:eastAsia="zh-CN"/>
        </w:rPr>
        <w:t>，</w:t>
      </w:r>
      <w:r>
        <w:rPr>
          <w:rFonts w:hint="eastAsia" w:cs="宋体"/>
          <w:kern w:val="0"/>
          <w:lang w:val="en-US" w:eastAsia="zh-CN"/>
        </w:rPr>
        <w:t>涉及</w:t>
      </w:r>
      <w:r>
        <w:rPr>
          <w:rFonts w:hint="eastAsia" w:ascii="宋体" w:hAnsi="宋体" w:cs="宋体"/>
          <w:kern w:val="0"/>
          <w:szCs w:val="21"/>
          <w:lang w:val="en-US" w:eastAsia="zh-CN"/>
        </w:rPr>
        <w:t>GB/T19022-2003标准</w:t>
      </w:r>
      <w:r>
        <w:rPr>
          <w:rFonts w:hint="eastAsia" w:cs="宋体"/>
          <w:kern w:val="0"/>
          <w:lang w:val="en-US" w:eastAsia="zh-CN"/>
        </w:rPr>
        <w:t>的</w:t>
      </w:r>
      <w:r>
        <w:rPr>
          <w:rFonts w:hint="eastAsia" w:ascii="宋体" w:hAnsi="宋体" w:cs="宋体"/>
          <w:kern w:val="0"/>
          <w:szCs w:val="21"/>
          <w:lang w:val="en-US" w:eastAsia="zh-CN"/>
        </w:rPr>
        <w:t>7.1.1条款，均</w:t>
      </w:r>
      <w:r>
        <w:rPr>
          <w:rFonts w:hint="eastAsia" w:cs="宋体"/>
          <w:kern w:val="0"/>
        </w:rPr>
        <w:t>已采取有效措施，已关闭已采取有效措施，已关闭。</w:t>
      </w:r>
    </w:p>
    <w:p>
      <w:pPr>
        <w:widowControl/>
        <w:numPr>
          <w:ilvl w:val="0"/>
          <w:numId w:val="2"/>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bookmarkStart w:id="7" w:name="_GoBack"/>
      <w:bookmarkEnd w:id="7"/>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2019年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经2020年1月5日，统计考核，各部门均完成目标。</w:t>
      </w: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cs="宋体" w:asciiTheme="minorEastAsia" w:hAnsiTheme="minorEastAsia"/>
          <w:bCs/>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未</w:t>
      </w:r>
      <w:r>
        <w:rPr>
          <w:rFonts w:hint="eastAsia" w:ascii="宋体" w:hAnsi="宋体" w:eastAsia="宋体" w:cs="宋体"/>
          <w:kern w:val="0"/>
          <w:szCs w:val="21"/>
        </w:rPr>
        <w:t>出具一般不符合</w:t>
      </w:r>
      <w:r>
        <w:rPr>
          <w:rFonts w:hint="eastAsia" w:ascii="宋体" w:hAnsi="宋体" w:eastAsia="宋体" w:cs="宋体"/>
          <w:color w:val="000000"/>
          <w:kern w:val="0"/>
          <w:szCs w:val="21"/>
          <w:lang w:val="en-US" w:eastAsia="zh-CN"/>
        </w:rPr>
        <w:t>项</w:t>
      </w:r>
      <w:r>
        <w:rPr>
          <w:rFonts w:hint="eastAsia" w:ascii="宋体" w:hAnsi="宋体" w:eastAsia="宋体" w:cs="宋体"/>
          <w:kern w:val="0"/>
          <w:szCs w:val="21"/>
        </w:rPr>
        <w:t>，未发现严重的或系统性的不符合情况：</w:t>
      </w:r>
    </w:p>
    <w:p>
      <w:pPr>
        <w:widowControl/>
        <w:spacing w:line="360"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7</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14</w:t>
      </w:r>
      <w:r>
        <w:rPr>
          <w:rFonts w:hint="eastAsia" w:ascii="宋体" w:hAnsi="宋体" w:eastAsia="宋体" w:cs="宋体"/>
          <w:bCs/>
          <w:kern w:val="0"/>
          <w:szCs w:val="21"/>
        </w:rPr>
        <w:t>日对</w:t>
      </w:r>
      <w:r>
        <w:rPr>
          <w:rFonts w:hint="eastAsia" w:ascii="宋体" w:hAnsi="宋体" w:eastAsia="宋体"/>
          <w:szCs w:val="21"/>
          <w:lang w:eastAsia="zh-CN"/>
        </w:rPr>
        <w:t>陕西大风印务科技股份有限公司</w:t>
      </w:r>
      <w:r>
        <w:rPr>
          <w:rFonts w:hint="eastAsia" w:ascii="宋体" w:hAnsi="宋体"/>
          <w:szCs w:val="21"/>
        </w:rPr>
        <w:t>公司</w:t>
      </w:r>
      <w:r>
        <w:rPr>
          <w:rFonts w:hint="eastAsia" w:ascii="宋体" w:hAnsi="宋体" w:eastAsia="宋体" w:cs="宋体"/>
          <w:bCs/>
          <w:kern w:val="0"/>
          <w:szCs w:val="21"/>
        </w:rPr>
        <w:t>建立的测量管理体系进行年度监督审核.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陕西大风印务科技股份有限公司</w:t>
      </w:r>
      <w:r>
        <w:rPr>
          <w:rFonts w:hint="eastAsia" w:ascii="宋体" w:hAnsi="宋体"/>
          <w:szCs w:val="21"/>
        </w:rPr>
        <w:t>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Style w:val="11"/>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w:t>
      </w:r>
      <w:r>
        <w:rPr>
          <w:rFonts w:hint="eastAsia" w:ascii="宋体" w:hAnsi="宋体" w:eastAsia="宋体" w:cs="Times New Roman"/>
          <w:szCs w:val="21"/>
          <w:lang w:val="en-US" w:eastAsia="zh-CN"/>
        </w:rPr>
        <w:t>进一步加强测量设备验证和溯源结果分析工作</w:t>
      </w:r>
      <w:r>
        <w:rPr>
          <w:rFonts w:hint="eastAsia" w:ascii="宋体" w:hAnsi="宋体" w:eastAsia="宋体" w:cs="Times New Roman"/>
          <w:szCs w:val="21"/>
        </w:rPr>
        <w:t>，</w:t>
      </w:r>
      <w:r>
        <w:rPr>
          <w:rFonts w:hint="eastAsia" w:ascii="宋体" w:hAnsi="宋体" w:eastAsia="宋体" w:cs="Times New Roman"/>
          <w:szCs w:val="21"/>
          <w:lang w:val="en-US" w:eastAsia="zh-CN"/>
        </w:rPr>
        <w:t>进一步</w:t>
      </w:r>
      <w:r>
        <w:rPr>
          <w:rFonts w:hint="eastAsia" w:ascii="宋体" w:hAnsi="宋体" w:eastAsia="宋体" w:cs="宋体"/>
          <w:bCs/>
          <w:kern w:val="0"/>
          <w:szCs w:val="21"/>
        </w:rPr>
        <w:t>加强对重要、关键测量过程的识别、控制工作，使测量管理体系能够更</w:t>
      </w:r>
      <w:r>
        <w:rPr>
          <w:rFonts w:hint="eastAsia" w:ascii="宋体" w:hAnsi="宋体" w:eastAsia="宋体" w:cs="宋体"/>
          <w:bCs/>
          <w:kern w:val="0"/>
          <w:szCs w:val="21"/>
          <w:lang w:val="en-US" w:eastAsia="zh-CN"/>
        </w:rPr>
        <w:t>加有效地为公司生产经营提供保障</w:t>
      </w:r>
      <w:r>
        <w:rPr>
          <w:rFonts w:hint="eastAsia" w:ascii="宋体" w:hAnsi="宋体" w:eastAsia="宋体" w:cs="宋体"/>
          <w:bCs/>
          <w:kern w:val="0"/>
          <w:szCs w:val="21"/>
        </w:rPr>
        <w:t xml:space="preserve">。 </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r>
        <w:rPr>
          <w:rFonts w:hint="eastAsia" w:ascii="宋体" w:hAnsi="宋体" w:cs="宋体" w:eastAsiaTheme="minorEastAsia"/>
          <w:kern w:val="0"/>
          <w:szCs w:val="21"/>
          <w:lang w:eastAsia="zh-CN"/>
        </w:rPr>
        <w:drawing>
          <wp:anchor distT="0" distB="0" distL="114300" distR="114300" simplePos="0" relativeHeight="251785216" behindDoc="0" locked="0" layoutInCell="1" allowOverlap="1">
            <wp:simplePos x="0" y="0"/>
            <wp:positionH relativeFrom="column">
              <wp:posOffset>4257675</wp:posOffset>
            </wp:positionH>
            <wp:positionV relativeFrom="paragraph">
              <wp:posOffset>218440</wp:posOffset>
            </wp:positionV>
            <wp:extent cx="780415" cy="560070"/>
            <wp:effectExtent l="0" t="0" r="6985" b="11430"/>
            <wp:wrapNone/>
            <wp:docPr id="46" name="图片 46" descr="a9be4e226f2cfd7d4154ecb42fe0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a9be4e226f2cfd7d4154ecb42fe08bf"/>
                    <pic:cNvPicPr>
                      <a:picLocks noChangeAspect="1"/>
                    </pic:cNvPicPr>
                  </pic:nvPicPr>
                  <pic:blipFill>
                    <a:blip r:embed="rId6"/>
                    <a:stretch>
                      <a:fillRect/>
                    </a:stretch>
                  </pic:blipFill>
                  <pic:spPr>
                    <a:xfrm>
                      <a:off x="0" y="0"/>
                      <a:ext cx="780415" cy="560070"/>
                    </a:xfrm>
                    <a:prstGeom prst="rect">
                      <a:avLst/>
                    </a:prstGeom>
                  </pic:spPr>
                </pic:pic>
              </a:graphicData>
            </a:graphic>
          </wp:anchor>
        </w:drawing>
      </w:r>
    </w:p>
    <w:p>
      <w:pPr>
        <w:widowControl/>
        <w:spacing w:line="276" w:lineRule="auto"/>
        <w:ind w:right="945"/>
        <w:jc w:val="right"/>
        <w:rPr>
          <w:rFonts w:ascii="宋体" w:hAnsi="宋体" w:eastAsia="宋体" w:cs="宋体"/>
          <w:kern w:val="0"/>
          <w:szCs w:val="28"/>
        </w:rPr>
      </w:pPr>
      <w:r>
        <w:rPr>
          <w:rFonts w:hint="eastAsia" w:eastAsiaTheme="minorEastAsia"/>
          <w:lang w:eastAsia="zh-CN"/>
        </w:rPr>
        <w:drawing>
          <wp:anchor distT="0" distB="0" distL="114300" distR="114300" simplePos="0" relativeHeight="251784192" behindDoc="0" locked="0" layoutInCell="1" allowOverlap="1">
            <wp:simplePos x="0" y="0"/>
            <wp:positionH relativeFrom="column">
              <wp:posOffset>3565525</wp:posOffset>
            </wp:positionH>
            <wp:positionV relativeFrom="paragraph">
              <wp:posOffset>22225</wp:posOffset>
            </wp:positionV>
            <wp:extent cx="483870" cy="616585"/>
            <wp:effectExtent l="0" t="0" r="5715" b="11430"/>
            <wp:wrapNone/>
            <wp:docPr id="44" name="图片 44" descr="55b056e222cdfbffb12cc6acce1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55b056e222cdfbffb12cc6acce12955"/>
                    <pic:cNvPicPr>
                      <a:picLocks noChangeAspect="1"/>
                    </pic:cNvPicPr>
                  </pic:nvPicPr>
                  <pic:blipFill>
                    <a:blip r:embed="rId7"/>
                    <a:stretch>
                      <a:fillRect/>
                    </a:stretch>
                  </pic:blipFill>
                  <pic:spPr>
                    <a:xfrm rot="16200000">
                      <a:off x="0" y="0"/>
                      <a:ext cx="483870" cy="616585"/>
                    </a:xfrm>
                    <a:prstGeom prst="rect">
                      <a:avLst/>
                    </a:prstGeom>
                  </pic:spPr>
                </pic:pic>
              </a:graphicData>
            </a:graphic>
          </wp:anchor>
        </w:drawing>
      </w: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538" w:firstLineChars="1685"/>
        <w:jc w:val="left"/>
        <w:rPr>
          <w:rFonts w:hint="eastAsia" w:ascii="宋体" w:hAnsi="宋体" w:eastAsia="宋体" w:cs="宋体"/>
          <w:kern w:val="0"/>
          <w:szCs w:val="28"/>
        </w:rPr>
      </w:pPr>
    </w:p>
    <w:p>
      <w:pPr>
        <w:widowControl/>
        <w:spacing w:line="276" w:lineRule="auto"/>
        <w:ind w:firstLine="3538" w:firstLineChars="1685"/>
        <w:jc w:val="left"/>
        <w:rPr>
          <w:rFonts w:hint="eastAsia" w:ascii="宋体" w:hAnsi="宋体" w:eastAsia="宋体" w:cs="宋体"/>
          <w:kern w:val="0"/>
          <w:szCs w:val="28"/>
        </w:rPr>
      </w:pPr>
    </w:p>
    <w:p>
      <w:pPr>
        <w:widowControl/>
        <w:spacing w:line="276" w:lineRule="auto"/>
        <w:ind w:firstLine="3538" w:firstLineChars="16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6"/>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E8C9"/>
    <w:multiLevelType w:val="singleLevel"/>
    <w:tmpl w:val="5C81E8C9"/>
    <w:lvl w:ilvl="0" w:tentative="0">
      <w:start w:val="6"/>
      <w:numFmt w:val="decimal"/>
      <w:lvlText w:val="%1."/>
      <w:lvlJc w:val="left"/>
      <w:pPr>
        <w:tabs>
          <w:tab w:val="left" w:pos="312"/>
        </w:tabs>
      </w:pPr>
    </w:lvl>
  </w:abstractNum>
  <w:abstractNum w:abstractNumId="1">
    <w:nsid w:val="73A06560"/>
    <w:multiLevelType w:val="singleLevel"/>
    <w:tmpl w:val="73A06560"/>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6F5A7A"/>
    <w:rsid w:val="36F518C5"/>
    <w:rsid w:val="3CFD18BD"/>
    <w:rsid w:val="66C11635"/>
    <w:rsid w:val="732A5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表格文字"/>
    <w:basedOn w:val="1"/>
    <w:qFormat/>
    <w:uiPriority w:val="0"/>
    <w:pPr>
      <w:spacing w:before="25" w:after="25"/>
    </w:pPr>
    <w:rPr>
      <w:bCs/>
      <w:spacing w:val="10"/>
    </w:rPr>
  </w:style>
  <w:style w:type="paragraph" w:styleId="10">
    <w:name w:val="List Paragraph"/>
    <w:basedOn w:val="1"/>
    <w:unhideWhenUsed/>
    <w:qFormat/>
    <w:uiPriority w:val="99"/>
    <w:pPr>
      <w:ind w:firstLine="420" w:firstLineChars="200"/>
    </w:p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43</TotalTime>
  <ScaleCrop>false</ScaleCrop>
  <LinksUpToDate>false</LinksUpToDate>
  <CharactersWithSpaces>540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2020-07-14T06:39:00Z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