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bookmarkStart w:id="0" w:name="合同编号"/>
      <w:r>
        <w:rPr>
          <w:rFonts w:hint="eastAsia"/>
          <w:b/>
          <w:bCs/>
          <w:sz w:val="24"/>
          <w:szCs w:val="24"/>
          <w:lang w:eastAsia="zh-CN"/>
        </w:rPr>
        <w:t>编号：</w:t>
      </w:r>
      <w:r>
        <w:rPr>
          <w:b/>
          <w:bCs/>
          <w:sz w:val="24"/>
          <w:szCs w:val="24"/>
        </w:rPr>
        <w:t>0323-2020-Q</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重庆长星光电子制造有限公司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widowControl/>
        <w:ind w:firstLine="1262" w:firstLineChars="601"/>
        <w:jc w:val="left"/>
      </w:pPr>
    </w:p>
    <w:p>
      <w:pPr>
        <w:widowControl/>
        <w:ind w:firstLine="1262" w:firstLineChars="601"/>
        <w:jc w:val="left"/>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724"/>
        <w:gridCol w:w="410"/>
        <w:gridCol w:w="708"/>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407" w:type="dxa"/>
            <w:gridSpan w:val="5"/>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1118" w:type="dxa"/>
            <w:gridSpan w:val="2"/>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gridSpan w:val="2"/>
            <w:vAlign w:val="center"/>
          </w:tcPr>
          <w:p>
            <w:pPr>
              <w:rPr>
                <w:b/>
                <w:color w:val="000000" w:themeColor="text1"/>
                <w:sz w:val="20"/>
                <w:szCs w:val="20"/>
              </w:rPr>
            </w:pPr>
            <w:r>
              <w:rPr>
                <w:rFonts w:hint="eastAsia"/>
                <w:b/>
                <w:color w:val="000000" w:themeColor="text1"/>
                <w:sz w:val="20"/>
                <w:szCs w:val="20"/>
              </w:rPr>
              <w:t>邮箱</w:t>
            </w:r>
          </w:p>
        </w:tc>
        <w:tc>
          <w:tcPr>
            <w:tcW w:w="2349"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052" w:type="dxa"/>
            <w:gridSpan w:val="2"/>
            <w:vAlign w:val="center"/>
          </w:tcPr>
          <w:p>
            <w:pPr>
              <w:spacing w:line="240" w:lineRule="exact"/>
              <w:jc w:val="center"/>
              <w:rPr>
                <w:b/>
                <w:color w:val="000000" w:themeColor="text1"/>
                <w:sz w:val="20"/>
                <w:szCs w:val="20"/>
              </w:rPr>
            </w:pPr>
            <w:r>
              <w:rPr>
                <w:rFonts w:hint="eastAsia"/>
                <w:sz w:val="18"/>
                <w:szCs w:val="18"/>
              </w:rPr>
              <w:t>注册资格</w:t>
            </w:r>
          </w:p>
        </w:tc>
        <w:tc>
          <w:tcPr>
            <w:tcW w:w="2759" w:type="dxa"/>
            <w:gridSpan w:val="3"/>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052" w:type="dxa"/>
            <w:gridSpan w:val="2"/>
            <w:vAlign w:val="center"/>
          </w:tcPr>
          <w:p>
            <w:pPr>
              <w:spacing w:line="240" w:lineRule="exact"/>
              <w:jc w:val="center"/>
              <w:rPr>
                <w:b/>
                <w:color w:val="000000" w:themeColor="text1"/>
                <w:sz w:val="20"/>
                <w:szCs w:val="20"/>
              </w:rPr>
            </w:pPr>
            <w:r>
              <w:rPr>
                <w:b/>
                <w:color w:val="000000" w:themeColor="text1"/>
                <w:sz w:val="20"/>
                <w:szCs w:val="20"/>
              </w:rPr>
              <w:t>审核员</w:t>
            </w:r>
          </w:p>
        </w:tc>
        <w:tc>
          <w:tcPr>
            <w:tcW w:w="2759" w:type="dxa"/>
            <w:gridSpan w:val="3"/>
            <w:vAlign w:val="center"/>
          </w:tcPr>
          <w:p>
            <w:pPr>
              <w:spacing w:line="240" w:lineRule="exact"/>
              <w:jc w:val="center"/>
              <w:rPr>
                <w:b/>
                <w:color w:val="000000" w:themeColor="text1"/>
                <w:sz w:val="20"/>
                <w:szCs w:val="20"/>
              </w:rPr>
            </w:pPr>
            <w:r>
              <w:rPr>
                <w:b/>
                <w:color w:val="000000" w:themeColor="text1"/>
                <w:sz w:val="20"/>
                <w:szCs w:val="20"/>
              </w:rPr>
              <w:t>19.04.00,33.02.01,33.02.02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052" w:type="dxa"/>
            <w:gridSpan w:val="2"/>
            <w:vAlign w:val="center"/>
          </w:tcPr>
          <w:p>
            <w:pPr>
              <w:spacing w:line="240" w:lineRule="exact"/>
              <w:jc w:val="center"/>
              <w:rPr>
                <w:b/>
                <w:color w:val="000000" w:themeColor="text1"/>
                <w:sz w:val="20"/>
                <w:szCs w:val="20"/>
              </w:rPr>
            </w:pPr>
            <w:r>
              <w:rPr>
                <w:b/>
                <w:color w:val="000000" w:themeColor="text1"/>
                <w:sz w:val="20"/>
                <w:szCs w:val="20"/>
              </w:rPr>
              <w:t>审核员</w:t>
            </w:r>
          </w:p>
        </w:tc>
        <w:tc>
          <w:tcPr>
            <w:tcW w:w="2759" w:type="dxa"/>
            <w:gridSpan w:val="3"/>
            <w:vAlign w:val="center"/>
          </w:tcPr>
          <w:p>
            <w:pPr>
              <w:spacing w:line="240" w:lineRule="exact"/>
              <w:jc w:val="center"/>
              <w:rPr>
                <w:b/>
                <w:color w:val="000000" w:themeColor="text1"/>
                <w:sz w:val="20"/>
                <w:szCs w:val="20"/>
              </w:rPr>
            </w:pPr>
            <w:r>
              <w:rPr>
                <w:b/>
                <w:color w:val="000000" w:themeColor="text1"/>
                <w:sz w:val="20"/>
                <w:szCs w:val="20"/>
              </w:rPr>
              <w:t>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052" w:type="dxa"/>
            <w:gridSpan w:val="2"/>
            <w:vAlign w:val="center"/>
          </w:tcPr>
          <w:p>
            <w:pPr>
              <w:rPr>
                <w:b/>
                <w:color w:val="000000" w:themeColor="text1"/>
                <w:sz w:val="20"/>
                <w:szCs w:val="20"/>
              </w:rPr>
            </w:pPr>
          </w:p>
        </w:tc>
        <w:tc>
          <w:tcPr>
            <w:tcW w:w="2759" w:type="dxa"/>
            <w:gridSpan w:val="3"/>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052" w:type="dxa"/>
            <w:gridSpan w:val="2"/>
            <w:vAlign w:val="center"/>
          </w:tcPr>
          <w:p>
            <w:pPr>
              <w:rPr>
                <w:b/>
                <w:color w:val="000000" w:themeColor="text1"/>
                <w:sz w:val="20"/>
                <w:szCs w:val="20"/>
              </w:rPr>
            </w:pPr>
          </w:p>
        </w:tc>
        <w:tc>
          <w:tcPr>
            <w:tcW w:w="2759" w:type="dxa"/>
            <w:gridSpan w:val="3"/>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052" w:type="dxa"/>
            <w:gridSpan w:val="2"/>
            <w:vAlign w:val="center"/>
          </w:tcPr>
          <w:p>
            <w:pPr>
              <w:rPr>
                <w:b/>
                <w:color w:val="000000" w:themeColor="text1"/>
                <w:sz w:val="20"/>
                <w:szCs w:val="20"/>
              </w:rPr>
            </w:pPr>
          </w:p>
        </w:tc>
        <w:tc>
          <w:tcPr>
            <w:tcW w:w="2759" w:type="dxa"/>
            <w:gridSpan w:val="3"/>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052" w:type="dxa"/>
            <w:gridSpan w:val="2"/>
            <w:vAlign w:val="center"/>
          </w:tcPr>
          <w:p>
            <w:pPr>
              <w:rPr>
                <w:b/>
                <w:color w:val="000000" w:themeColor="text1"/>
                <w:sz w:val="20"/>
                <w:szCs w:val="20"/>
              </w:rPr>
            </w:pPr>
            <w:r>
              <w:rPr>
                <w:rFonts w:hint="eastAsia"/>
                <w:b/>
                <w:color w:val="000000" w:themeColor="text1"/>
                <w:sz w:val="20"/>
                <w:szCs w:val="20"/>
              </w:rPr>
              <w:t>工作单位</w:t>
            </w:r>
          </w:p>
        </w:tc>
        <w:tc>
          <w:tcPr>
            <w:tcW w:w="2759" w:type="dxa"/>
            <w:gridSpan w:val="3"/>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052" w:type="dxa"/>
            <w:gridSpan w:val="2"/>
            <w:vAlign w:val="center"/>
          </w:tcPr>
          <w:p>
            <w:pPr>
              <w:rPr>
                <w:b/>
                <w:color w:val="000000" w:themeColor="text1"/>
              </w:rPr>
            </w:pPr>
          </w:p>
        </w:tc>
        <w:tc>
          <w:tcPr>
            <w:tcW w:w="2759" w:type="dxa"/>
            <w:gridSpan w:val="3"/>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052" w:type="dxa"/>
            <w:gridSpan w:val="2"/>
            <w:vAlign w:val="center"/>
          </w:tcPr>
          <w:p>
            <w:pPr>
              <w:rPr>
                <w:b/>
                <w:color w:val="000000" w:themeColor="text1"/>
              </w:rPr>
            </w:pPr>
          </w:p>
        </w:tc>
        <w:tc>
          <w:tcPr>
            <w:tcW w:w="2759" w:type="dxa"/>
            <w:gridSpan w:val="3"/>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GB/T19001-2016/ISO9001:2015</w:t>
      </w:r>
      <w:bookmarkEnd w:id="5"/>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重庆长星光电子制造有限公司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40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重庆市南岸区金菊路24号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40060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重庆市南岸区金菊路24号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40060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刘施逸</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023-62483846</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查跃康</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查跃康</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王言</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jc w:val="left"/>
              <w:rPr>
                <w:rFonts w:hint="eastAsia" w:ascii="宋体" w:hAnsi="宋体" w:eastAsia="宋体"/>
                <w:b/>
                <w:color w:val="000000" w:themeColor="text1"/>
                <w:sz w:val="20"/>
                <w:szCs w:val="20"/>
                <w:lang w:eastAsia="zh-CN"/>
              </w:rPr>
            </w:pPr>
            <w:bookmarkStart w:id="18" w:name="审核范围"/>
            <w:r>
              <w:rPr>
                <w:rFonts w:hint="eastAsia" w:ascii="宋体" w:hAnsi="宋体"/>
                <w:b/>
                <w:color w:val="000000" w:themeColor="text1"/>
                <w:sz w:val="20"/>
                <w:szCs w:val="20"/>
                <w:lang w:eastAsia="zh-CN"/>
              </w:rPr>
              <w:t>原申请范围：</w:t>
            </w:r>
            <w:r>
              <w:rPr>
                <w:rFonts w:hint="eastAsia" w:ascii="宋体" w:hAnsi="宋体"/>
                <w:b/>
                <w:color w:val="000000" w:themeColor="text1"/>
                <w:sz w:val="20"/>
                <w:szCs w:val="20"/>
              </w:rPr>
              <w:t>计算机信息系统集成和应用软件开发；LED应用产品的设计、生产、销售（3C许可范围内除外）</w:t>
            </w:r>
            <w:bookmarkEnd w:id="18"/>
            <w:r>
              <w:rPr>
                <w:rFonts w:hint="eastAsia" w:ascii="宋体" w:hAnsi="宋体"/>
                <w:b/>
                <w:color w:val="000000" w:themeColor="text1"/>
                <w:sz w:val="20"/>
                <w:szCs w:val="20"/>
                <w:lang w:eastAsia="zh-CN"/>
              </w:rPr>
              <w:t>。</w:t>
            </w:r>
          </w:p>
          <w:p>
            <w:pPr>
              <w:spacing w:line="320" w:lineRule="exact"/>
              <w:jc w:val="left"/>
              <w:rPr>
                <w:rFonts w:hint="eastAsia" w:eastAsia="宋体"/>
                <w:lang w:eastAsia="zh-CN"/>
              </w:rPr>
            </w:pPr>
            <w:r>
              <w:rPr>
                <w:rFonts w:hint="eastAsia" w:ascii="宋体" w:hAnsi="宋体"/>
                <w:b/>
                <w:color w:val="000000" w:themeColor="text1"/>
                <w:sz w:val="20"/>
                <w:szCs w:val="20"/>
                <w:lang w:eastAsia="zh-CN"/>
              </w:rPr>
              <w:t>现变更为：</w:t>
            </w:r>
            <w:r>
              <w:rPr>
                <w:rFonts w:hint="eastAsia" w:ascii="宋体" w:hAnsi="宋体"/>
                <w:b/>
                <w:color w:val="000000" w:themeColor="text1"/>
                <w:sz w:val="20"/>
                <w:szCs w:val="20"/>
              </w:rPr>
              <w:t>计算机信息系统集成；LED应用产品的设计、生产、销售（3C许可范围内除外）</w:t>
            </w:r>
            <w:r>
              <w:rPr>
                <w:rFonts w:hint="eastAsia" w:ascii="宋体" w:hAnsi="宋体"/>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19.04.00;33.02.01;33.02.02</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2020-01-01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hint="default"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lang w:val="en-US"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文件、记录控制程；</w:t>
            </w:r>
            <w:r>
              <w:rPr>
                <w:rFonts w:hint="eastAsia" w:ascii="宋体" w:hAnsi="宋体"/>
                <w:b/>
                <w:sz w:val="20"/>
                <w:szCs w:val="20"/>
              </w:rPr>
              <w:t>内审管理；人</w:t>
            </w:r>
            <w:r>
              <w:rPr>
                <w:rFonts w:hint="eastAsia" w:ascii="宋体" w:hAnsi="宋体"/>
                <w:b/>
                <w:color w:val="000000" w:themeColor="text1"/>
                <w:sz w:val="20"/>
                <w:szCs w:val="20"/>
              </w:rPr>
              <w:t>员、部</w:t>
            </w:r>
            <w:r>
              <w:rPr>
                <w:rFonts w:hint="eastAsia" w:ascii="宋体" w:hAnsi="宋体" w:eastAsia="宋体" w:cs="Times New Roman"/>
                <w:b/>
                <w:color w:val="000000" w:themeColor="text1"/>
                <w:sz w:val="20"/>
                <w:szCs w:val="20"/>
              </w:rPr>
              <w:t>门职</w:t>
            </w:r>
            <w:r>
              <w:rPr>
                <w:rFonts w:hint="eastAsia" w:ascii="宋体" w:hAnsi="宋体"/>
                <w:b/>
                <w:color w:val="000000" w:themeColor="text1"/>
                <w:sz w:val="20"/>
                <w:szCs w:val="20"/>
              </w:rPr>
              <w:t>能职责和权限；风险识别评价管理；对各部门质量策划的实施情况进行监督检查。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119" w:type="dxa"/>
            <w:vAlign w:val="center"/>
          </w:tcPr>
          <w:p>
            <w:pPr>
              <w:jc w:val="center"/>
              <w:rPr>
                <w:rFonts w:hint="default" w:ascii="宋体" w:hAnsi="宋体" w:eastAsia="宋体" w:cs="Times New Roman"/>
                <w:b/>
                <w:color w:val="000000" w:themeColor="text1"/>
                <w:sz w:val="20"/>
                <w:szCs w:val="20"/>
                <w:lang w:val="en-US" w:eastAsia="zh-CN"/>
              </w:rPr>
            </w:pPr>
            <w:r>
              <w:rPr>
                <w:rFonts w:hint="eastAsia" w:ascii="宋体" w:hAnsi="宋体" w:cs="Times New Roman"/>
                <w:b/>
                <w:color w:val="000000" w:themeColor="text1"/>
                <w:sz w:val="20"/>
                <w:szCs w:val="20"/>
                <w:lang w:val="en-US" w:eastAsia="zh-CN"/>
              </w:rPr>
              <w:t>业务部</w:t>
            </w:r>
          </w:p>
        </w:tc>
        <w:tc>
          <w:tcPr>
            <w:tcW w:w="6804" w:type="dxa"/>
          </w:tcPr>
          <w:p>
            <w:pPr>
              <w:jc w:val="left"/>
              <w:rPr>
                <w:rFonts w:hint="eastAsia" w:ascii="宋体" w:hAnsi="宋体" w:eastAsia="宋体" w:cs="Times New Roman"/>
                <w:b/>
                <w:sz w:val="20"/>
                <w:szCs w:val="20"/>
                <w:lang w:eastAsia="zh-CN"/>
              </w:rPr>
            </w:pPr>
            <w:r>
              <w:rPr>
                <w:rFonts w:hint="eastAsia" w:ascii="宋体" w:hAnsi="宋体" w:eastAsia="宋体" w:cs="Times New Roman"/>
                <w:b/>
                <w:sz w:val="20"/>
                <w:szCs w:val="20"/>
              </w:rPr>
              <w:t>产品的储运、销售、收款和售后服务</w:t>
            </w:r>
            <w:r>
              <w:rPr>
                <w:rFonts w:hint="eastAsia" w:ascii="宋体" w:hAnsi="宋体" w:eastAsia="宋体" w:cs="Times New Roman"/>
                <w:b/>
                <w:sz w:val="20"/>
                <w:szCs w:val="20"/>
                <w:lang w:eastAsia="zh-CN"/>
              </w:rPr>
              <w:t>，</w:t>
            </w:r>
            <w:r>
              <w:rPr>
                <w:rFonts w:hint="eastAsia" w:ascii="宋体" w:hAnsi="宋体" w:eastAsia="宋体" w:cs="Times New Roman"/>
                <w:b/>
                <w:sz w:val="20"/>
                <w:szCs w:val="20"/>
              </w:rPr>
              <w:t>合同管理；采购管理；</w:t>
            </w:r>
            <w:r>
              <w:rPr>
                <w:rFonts w:hint="eastAsia" w:ascii="宋体" w:hAnsi="宋体" w:eastAsia="宋体" w:cs="Times New Roman"/>
                <w:b/>
                <w:sz w:val="20"/>
                <w:szCs w:val="20"/>
                <w:lang w:val="en-US" w:eastAsia="zh-CN"/>
              </w:rPr>
              <w:t>顾客满意度调查</w:t>
            </w:r>
            <w:r>
              <w:rPr>
                <w:rFonts w:hint="eastAsia" w:ascii="宋体" w:hAnsi="宋体" w:eastAsia="宋体" w:cs="Times New Roman"/>
                <w:b/>
                <w:sz w:val="20"/>
                <w:szCs w:val="20"/>
                <w:lang w:eastAsia="zh-CN"/>
              </w:rPr>
              <w:t>，外包过程的控制。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hint="default"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lang w:val="en-US" w:eastAsia="zh-CN"/>
              </w:rPr>
              <w:t>生产部</w:t>
            </w:r>
          </w:p>
        </w:tc>
        <w:tc>
          <w:tcPr>
            <w:tcW w:w="6804" w:type="dxa"/>
          </w:tcPr>
          <w:p>
            <w:pPr>
              <w:jc w:val="left"/>
              <w:rPr>
                <w:rFonts w:hint="eastAsia" w:ascii="宋体" w:hAnsi="宋体" w:eastAsia="宋体" w:cs="Times New Roman"/>
                <w:b/>
                <w:sz w:val="20"/>
                <w:szCs w:val="20"/>
              </w:rPr>
            </w:pPr>
            <w:r>
              <w:rPr>
                <w:rFonts w:hint="eastAsia" w:ascii="宋体" w:hAnsi="宋体" w:eastAsia="宋体" w:cs="Times New Roman"/>
                <w:b/>
                <w:sz w:val="20"/>
                <w:szCs w:val="20"/>
              </w:rPr>
              <w:t>制订生产计划</w:t>
            </w:r>
            <w:r>
              <w:rPr>
                <w:rFonts w:hint="eastAsia" w:ascii="宋体" w:hAnsi="宋体" w:eastAsia="宋体" w:cs="Times New Roman"/>
                <w:b/>
                <w:sz w:val="20"/>
                <w:szCs w:val="20"/>
                <w:lang w:eastAsia="zh-CN"/>
              </w:rPr>
              <w:t>，</w:t>
            </w:r>
            <w:r>
              <w:rPr>
                <w:rFonts w:hint="eastAsia" w:ascii="宋体" w:hAnsi="宋体" w:eastAsia="宋体" w:cs="Times New Roman"/>
                <w:b/>
                <w:sz w:val="20"/>
                <w:szCs w:val="20"/>
              </w:rPr>
              <w:t>现场管理</w:t>
            </w:r>
            <w:r>
              <w:rPr>
                <w:rFonts w:hint="eastAsia" w:ascii="宋体" w:hAnsi="宋体" w:eastAsia="宋体" w:cs="Times New Roman"/>
                <w:b/>
                <w:sz w:val="20"/>
                <w:szCs w:val="20"/>
                <w:lang w:eastAsia="zh-CN"/>
              </w:rPr>
              <w:t>，</w:t>
            </w:r>
            <w:r>
              <w:rPr>
                <w:rFonts w:hint="eastAsia" w:ascii="宋体" w:hAnsi="宋体" w:eastAsia="宋体" w:cs="Times New Roman"/>
                <w:b/>
                <w:sz w:val="20"/>
                <w:szCs w:val="20"/>
              </w:rPr>
              <w:t>不合格品控制；纠正和预防措施控制；过程监控管理；服务过程管理；设备设施管理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hint="default" w:ascii="宋体" w:hAnsi="宋体" w:eastAsia="宋体" w:cs="Times New Roman"/>
                <w:b/>
                <w:color w:val="000000" w:themeColor="text1"/>
                <w:sz w:val="20"/>
                <w:szCs w:val="20"/>
                <w:lang w:val="en-US" w:eastAsia="zh-CN"/>
              </w:rPr>
            </w:pPr>
            <w:r>
              <w:rPr>
                <w:rFonts w:hint="eastAsia" w:ascii="宋体" w:hAnsi="宋体" w:cs="Times New Roman"/>
                <w:b/>
                <w:color w:val="000000" w:themeColor="text1"/>
                <w:sz w:val="20"/>
                <w:szCs w:val="20"/>
                <w:lang w:val="en-US" w:eastAsia="zh-CN"/>
              </w:rPr>
              <w:t>品质部</w:t>
            </w:r>
          </w:p>
        </w:tc>
        <w:tc>
          <w:tcPr>
            <w:tcW w:w="6804" w:type="dxa"/>
          </w:tcPr>
          <w:p>
            <w:pPr>
              <w:jc w:val="left"/>
              <w:rPr>
                <w:rFonts w:hint="eastAsia" w:ascii="宋体" w:hAnsi="宋体" w:eastAsia="宋体" w:cs="Times New Roman"/>
                <w:b/>
                <w:sz w:val="20"/>
                <w:szCs w:val="20"/>
                <w:lang w:eastAsia="zh-CN"/>
              </w:rPr>
            </w:pPr>
            <w:r>
              <w:rPr>
                <w:rFonts w:hint="eastAsia" w:ascii="宋体" w:hAnsi="宋体" w:eastAsia="宋体" w:cs="Times New Roman"/>
                <w:b/>
                <w:sz w:val="20"/>
                <w:szCs w:val="20"/>
              </w:rPr>
              <w:t>新产品的试作</w:t>
            </w:r>
            <w:r>
              <w:rPr>
                <w:rFonts w:hint="eastAsia" w:ascii="宋体" w:hAnsi="宋体" w:eastAsia="宋体" w:cs="Times New Roman"/>
                <w:b/>
                <w:sz w:val="20"/>
                <w:szCs w:val="20"/>
                <w:lang w:eastAsia="zh-CN"/>
              </w:rPr>
              <w:t>，</w:t>
            </w:r>
            <w:r>
              <w:rPr>
                <w:rFonts w:hint="eastAsia" w:ascii="宋体" w:hAnsi="宋体" w:eastAsia="宋体" w:cs="Times New Roman"/>
                <w:b/>
                <w:sz w:val="20"/>
                <w:szCs w:val="20"/>
              </w:rPr>
              <w:t>产品验收管理；技术管理</w:t>
            </w:r>
            <w:r>
              <w:rPr>
                <w:rFonts w:hint="eastAsia" w:ascii="宋体" w:hAnsi="宋体" w:eastAsia="宋体" w:cs="Times New Roman"/>
                <w:b/>
                <w:sz w:val="20"/>
                <w:szCs w:val="20"/>
                <w:lang w:eastAsia="zh-CN"/>
              </w:rPr>
              <w:t>，</w:t>
            </w:r>
            <w:r>
              <w:rPr>
                <w:rFonts w:hint="eastAsia" w:ascii="宋体" w:hAnsi="宋体" w:eastAsia="宋体" w:cs="Times New Roman"/>
                <w:b/>
                <w:sz w:val="20"/>
                <w:szCs w:val="20"/>
              </w:rPr>
              <w:t>监视和测量设备管理</w:t>
            </w:r>
            <w:r>
              <w:rPr>
                <w:rFonts w:hint="eastAsia" w:ascii="宋体" w:hAnsi="宋体" w:eastAsia="宋体" w:cs="Times New Roman"/>
                <w:b/>
                <w:sz w:val="20"/>
                <w:szCs w:val="20"/>
                <w:lang w:eastAsia="zh-CN"/>
              </w:rPr>
              <w:t>，</w:t>
            </w:r>
            <w:r>
              <w:rPr>
                <w:rFonts w:hint="eastAsia" w:ascii="宋体" w:hAnsi="宋体" w:eastAsia="宋体" w:cs="Times New Roman"/>
                <w:b/>
                <w:sz w:val="20"/>
                <w:szCs w:val="20"/>
              </w:rPr>
              <w:t>技术方面的培训</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color w:val="000000"/>
                <w:lang w:val="en-US" w:eastAsia="zh-CN"/>
              </w:rPr>
              <w:t>重庆市江北区数字化城市管理监督指挥中心所需环卫智能管理系统所需设备项目</w:t>
            </w:r>
          </w:p>
        </w:tc>
        <w:tc>
          <w:tcPr>
            <w:tcW w:w="3249" w:type="dxa"/>
          </w:tcPr>
          <w:p>
            <w:pPr>
              <w:jc w:val="center"/>
              <w:rPr>
                <w:rFonts w:ascii="宋体" w:hAnsi="宋体"/>
                <w:b/>
                <w:color w:val="000000" w:themeColor="text1"/>
                <w:spacing w:val="-20"/>
                <w:sz w:val="20"/>
                <w:szCs w:val="20"/>
                <w:u w:val="single"/>
              </w:rPr>
            </w:pPr>
            <w:r>
              <w:rPr>
                <w:rFonts w:hint="eastAsia"/>
                <w:color w:val="000000"/>
                <w:lang w:val="en-US" w:eastAsia="zh-CN"/>
              </w:rPr>
              <w:t>计算机信息系统集成</w:t>
            </w:r>
          </w:p>
        </w:tc>
        <w:tc>
          <w:tcPr>
            <w:tcW w:w="3555" w:type="dxa"/>
          </w:tcPr>
          <w:p>
            <w:pPr>
              <w:jc w:val="center"/>
              <w:rPr>
                <w:rFonts w:ascii="宋体" w:hAnsi="宋体"/>
                <w:b/>
                <w:color w:val="000000" w:themeColor="text1"/>
                <w:spacing w:val="-20"/>
                <w:sz w:val="20"/>
                <w:szCs w:val="20"/>
                <w:u w:val="single"/>
              </w:rPr>
            </w:pPr>
            <w:r>
              <w:rPr>
                <w:rFonts w:hint="eastAsia"/>
                <w:color w:val="000000"/>
                <w:lang w:val="en-US" w:eastAsia="zh-CN"/>
              </w:rPr>
              <w:t>重庆江北红旗河沟转盘地下通道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计算机信息系统集成</w:t>
            </w:r>
          </w:p>
        </w:tc>
        <w:tc>
          <w:tcPr>
            <w:tcW w:w="2519" w:type="dxa"/>
          </w:tcPr>
          <w:p>
            <w:pPr>
              <w:rPr>
                <w:rFonts w:hint="eastAsia" w:eastAsia="宋体"/>
                <w:b/>
                <w:color w:val="000000" w:themeColor="text1"/>
                <w:sz w:val="20"/>
                <w:szCs w:val="20"/>
                <w:lang w:eastAsia="zh-CN"/>
              </w:rPr>
            </w:pPr>
            <w:r>
              <w:rPr>
                <w:rFonts w:hint="eastAsia"/>
                <w:b/>
                <w:color w:val="000000" w:themeColor="text1"/>
                <w:sz w:val="20"/>
                <w:szCs w:val="20"/>
                <w:lang w:eastAsia="zh-CN"/>
              </w:rPr>
              <w:t>服务</w:t>
            </w:r>
          </w:p>
        </w:tc>
        <w:tc>
          <w:tcPr>
            <w:tcW w:w="1843" w:type="dxa"/>
          </w:tcPr>
          <w:p>
            <w:pPr>
              <w:rPr>
                <w:b/>
                <w:color w:val="000000" w:themeColor="text1"/>
                <w:sz w:val="20"/>
                <w:szCs w:val="20"/>
              </w:rPr>
            </w:pPr>
          </w:p>
        </w:tc>
        <w:tc>
          <w:tcPr>
            <w:tcW w:w="3543" w:type="dxa"/>
          </w:tcPr>
          <w:p>
            <w:pPr>
              <w:rPr>
                <w:rFonts w:ascii="宋体" w:hAnsi="宋体" w:cs="宋体"/>
                <w:szCs w:val="21"/>
              </w:rPr>
            </w:pPr>
            <w:r>
              <w:rPr>
                <w:rFonts w:hint="eastAsia" w:ascii="宋体" w:hAnsi="宋体" w:cs="宋体"/>
                <w:szCs w:val="21"/>
                <w:lang w:val="en-US" w:eastAsia="zh-CN"/>
              </w:rPr>
              <w:t>《信息安全技术 信息系统安全通用技术要求》 （GB/T20271-2006）；《信息安全技术 信息系统等级保护安全设计技术要求》（ GB/T25070-2010）；</w:t>
            </w:r>
            <w:r>
              <w:rPr>
                <w:rFonts w:hint="eastAsia" w:ascii="宋体" w:hAnsi="宋体" w:cs="Times New Roman"/>
                <w:szCs w:val="21"/>
              </w:rPr>
              <w:t>中华人民共和国合同法、中华人民共和国产品质量法、中华人民共和国消费者权益</w:t>
            </w:r>
            <w:r>
              <w:rPr>
                <w:rFonts w:hint="eastAsia" w:ascii="宋体" w:hAnsi="宋体" w:cs="宋体"/>
                <w:szCs w:val="21"/>
                <w:lang w:val="en-US" w:eastAsia="zh-CN"/>
              </w:rPr>
              <w:t>等标准。</w:t>
            </w:r>
          </w:p>
          <w:p>
            <w:pPr>
              <w:rPr>
                <w:rFonts w:hint="default"/>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ascii="宋体" w:hAnsi="宋体"/>
                <w:szCs w:val="21"/>
              </w:rPr>
              <w:t>LED应用产品的设计、生产、销售（3C许可范围内除外）</w:t>
            </w:r>
          </w:p>
        </w:tc>
        <w:tc>
          <w:tcPr>
            <w:tcW w:w="2519"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cs="Times New Roman"/>
                <w:b/>
                <w:color w:val="000000" w:themeColor="text1"/>
                <w:kern w:val="2"/>
                <w:sz w:val="20"/>
                <w:szCs w:val="20"/>
                <w:lang w:val="en-US" w:eastAsia="zh-CN" w:bidi="ar-SA"/>
              </w:rPr>
              <w:t>产品</w:t>
            </w: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p>
        </w:tc>
        <w:tc>
          <w:tcPr>
            <w:tcW w:w="3543" w:type="dxa"/>
            <w:vAlign w:val="top"/>
          </w:tcPr>
          <w:p>
            <w:pPr>
              <w:rPr>
                <w:rFonts w:hint="default" w:ascii="Times New Roman" w:hAnsi="Times New Roman" w:eastAsia="宋体" w:cs="Times New Roman"/>
                <w:b/>
                <w:color w:val="000000" w:themeColor="text1"/>
                <w:kern w:val="2"/>
                <w:sz w:val="20"/>
                <w:szCs w:val="20"/>
                <w:lang w:val="en-US" w:eastAsia="zh-CN" w:bidi="ar-SA"/>
              </w:rPr>
            </w:pPr>
            <w:r>
              <w:rPr>
                <w:rFonts w:hint="eastAsia" w:ascii="宋体" w:hAnsi="宋体" w:cs="宋体"/>
                <w:szCs w:val="21"/>
                <w:lang w:eastAsia="zh-CN"/>
              </w:rPr>
              <w:t>《</w:t>
            </w:r>
            <w:r>
              <w:rPr>
                <w:rFonts w:hint="eastAsia" w:ascii="宋体" w:hAnsi="宋体" w:cs="宋体"/>
                <w:szCs w:val="21"/>
                <w:lang w:val="en-US" w:eastAsia="zh-CN"/>
              </w:rPr>
              <w:t>城市公共交通标志第3部分，公共汽车站站牌和路牌》（GB/T5845.3-2008）；《机动车电子电器组件的电磁辐射抗拢性限值和测量方法》（GB/T17619）等标准及</w:t>
            </w:r>
            <w:r>
              <w:rPr>
                <w:rFonts w:hint="eastAsia" w:ascii="宋体" w:hAnsi="宋体" w:cs="Times New Roman"/>
                <w:szCs w:val="21"/>
                <w:lang w:val="en-US" w:eastAsia="zh-CN"/>
              </w:rPr>
              <w:t>客户合同及要求</w:t>
            </w: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ascii="Times New Roman" w:hAnsi="Times New Roman" w:eastAsia="宋体" w:cs="Times New Roman"/>
          <w:b/>
          <w:color w:val="000000" w:themeColor="text1"/>
          <w:spacing w:val="-10"/>
          <w:szCs w:val="21"/>
          <w:lang w:eastAsia="zh-CN"/>
        </w:rPr>
        <w:t>2020年1月</w:t>
      </w:r>
      <w:r>
        <w:rPr>
          <w:rFonts w:hint="eastAsia"/>
          <w:b/>
          <w:color w:val="000000" w:themeColor="text1"/>
          <w:spacing w:val="-10"/>
          <w:szCs w:val="21"/>
          <w:lang w:eastAsia="zh-CN"/>
        </w:rPr>
        <w:t>1日</w:t>
      </w:r>
      <w:r>
        <w:rPr>
          <w:rFonts w:hint="eastAsia"/>
          <w:b/>
          <w:color w:val="000000" w:themeColor="text1"/>
          <w:spacing w:val="-10"/>
          <w:szCs w:val="21"/>
        </w:rPr>
        <w:t>至2020年07月18日。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eastAsia"/>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240" w:lineRule="exact"/>
              <w:rPr>
                <w:rFonts w:hint="eastAsia"/>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420" w:firstLineChars="200"/>
              <w:rPr>
                <w:rFonts w:hint="eastAsia" w:ascii="宋体" w:hAnsi="宋体" w:eastAsia="宋体" w:cs="Times New Roman"/>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eastAsia="宋体" w:cs="Times New Roman"/>
                <w:color w:val="000000" w:themeColor="text1"/>
                <w:lang w:val="en-US" w:eastAsia="zh-CN"/>
              </w:rPr>
              <w:t>“</w:t>
            </w:r>
            <w:r>
              <w:rPr>
                <w:rFonts w:hint="eastAsia" w:ascii="宋体" w:hAnsi="宋体" w:eastAsia="宋体" w:cs="Times New Roman"/>
                <w:color w:val="000000" w:themeColor="text1"/>
                <w:lang w:eastAsia="zh-CN"/>
              </w:rPr>
              <w:t>质量第一、顾客至上、科技领先、追求卓越</w:t>
            </w:r>
            <w:r>
              <w:rPr>
                <w:rFonts w:hint="eastAsia" w:ascii="宋体" w:hAnsi="宋体" w:eastAsia="宋体" w:cs="Times New Roman"/>
                <w:color w:val="000000" w:themeColor="text1"/>
                <w:lang w:val="en-US" w:eastAsia="zh-CN"/>
              </w:rPr>
              <w:t>”。</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b/>
                <w:color w:val="000000" w:themeColor="text1"/>
              </w:rPr>
            </w:pPr>
            <w:r>
              <w:rPr>
                <w:b/>
                <w:color w:val="000000" w:themeColor="text1"/>
              </w:rPr>
              <w:t>4、</w:t>
            </w:r>
            <w:r>
              <w:rPr>
                <w:rFonts w:hint="eastAsia"/>
                <w:b/>
                <w:color w:val="000000" w:themeColor="text1"/>
              </w:rPr>
              <w:t>风险识别与控制策划（QMS）</w:t>
            </w:r>
          </w:p>
          <w:p>
            <w:pPr>
              <w:spacing w:line="240" w:lineRule="exact"/>
              <w:rPr>
                <w:rFonts w:hint="eastAsia"/>
                <w:b/>
                <w:color w:val="000000" w:themeColor="text1"/>
              </w:rPr>
            </w:pPr>
            <w:r>
              <w:rPr>
                <w:rFonts w:hint="eastAsia" w:ascii="宋体" w:hAnsi="宋体"/>
                <w:color w:val="000000" w:themeColor="text1"/>
              </w:rPr>
              <w:t>制定并实施了相关程序和管理制度，服务过程包括策划、准备、实施、支持服务等。这些过程的主要活动、顺序或相互关系、相关管理作业指导书的规定基本适宜、充分、有效、详细，相关过程的策划良好，实施有序，控制基本有效。</w:t>
            </w:r>
          </w:p>
          <w:p>
            <w:pPr>
              <w:spacing w:line="240" w:lineRule="exact"/>
              <w:rPr>
                <w:rFonts w:hint="eastAsia"/>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Cs w:val="21"/>
              </w:rPr>
              <w:t>计算机信息系统集成和应用软件开发；LED应用产品的设计、生产、销售（3C许可范围内除外）</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 xml:space="preserve">   安装调试、</w:t>
            </w:r>
            <w:r>
              <w:rPr>
                <w:rFonts w:hint="eastAsia" w:ascii="宋体" w:hAnsi="宋体"/>
                <w:b/>
                <w:color w:val="000000" w:themeColor="text1"/>
                <w:sz w:val="20"/>
                <w:szCs w:val="20"/>
                <w:highlight w:val="none"/>
                <w:u w:val="single"/>
                <w:lang w:val="en-US" w:eastAsia="zh-CN"/>
              </w:rPr>
              <w:t>总装过程</w:t>
            </w:r>
            <w:r>
              <w:rPr>
                <w:rFonts w:hint="eastAsia" w:ascii="宋体" w:hAnsi="宋体"/>
                <w:b/>
                <w:color w:val="000000" w:themeColor="text1"/>
                <w:sz w:val="20"/>
                <w:szCs w:val="20"/>
                <w:highlight w:val="none"/>
                <w:u w:val="single"/>
              </w:rPr>
              <w:t xml:space="preserve">       </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w:t>
            </w:r>
            <w:r>
              <w:rPr>
                <w:rFonts w:hint="eastAsia" w:ascii="宋体" w:hAnsi="宋体"/>
                <w:b/>
                <w:color w:val="000000" w:themeColor="text1"/>
                <w:sz w:val="20"/>
                <w:szCs w:val="20"/>
                <w:u w:val="single"/>
                <w:lang w:eastAsia="zh-CN"/>
              </w:rPr>
              <w:t>线路敷设、老化过程</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产品/服务□环境因素□危险源，□确定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电子文档宣传</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r>
              <w:rPr>
                <w:rFonts w:hint="eastAsia" w:ascii="宋体" w:hAnsi="宋体"/>
                <w:b/>
                <w:color w:val="000000" w:themeColor="text1"/>
                <w:szCs w:val="21"/>
              </w:rPr>
              <w:t>□</w:t>
            </w:r>
            <w:r>
              <w:rPr>
                <w:rFonts w:hint="eastAsia" w:ascii="宋体" w:hAnsi="宋体"/>
                <w:b/>
                <w:color w:val="000000" w:themeColor="text1"/>
                <w:szCs w:val="21"/>
                <w:lang w:val="en-US" w:eastAsia="zh-CN"/>
              </w:rPr>
              <w:t>否</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240" w:lineRule="exact"/>
              <w:rPr>
                <w:rFonts w:hint="eastAsia" w:ascii="宋体" w:hAnsi="宋体"/>
                <w:b/>
                <w:color w:val="000000" w:themeColor="text1"/>
                <w:lang w:val="en-US" w:eastAsia="zh-CN"/>
              </w:rPr>
            </w:pPr>
            <w:r>
              <w:rPr>
                <w:rFonts w:hint="eastAsia" w:ascii="宋体" w:hAnsi="宋体"/>
                <w:b/>
                <w:color w:val="000000" w:themeColor="text1"/>
                <w:lang w:val="en-US" w:eastAsia="zh-CN"/>
              </w:rPr>
              <w:t>质量目标：</w:t>
            </w:r>
          </w:p>
          <w:p>
            <w:pPr>
              <w:spacing w:line="360" w:lineRule="auto"/>
              <w:rPr>
                <w:rFonts w:hint="eastAsia" w:ascii="宋体" w:hAnsi="宋体"/>
                <w:bCs/>
                <w:sz w:val="21"/>
                <w:szCs w:val="21"/>
                <w:lang w:eastAsia="zh-CN"/>
              </w:rPr>
            </w:pPr>
            <w:r>
              <w:rPr>
                <w:rFonts w:hint="eastAsia" w:ascii="宋体" w:hAnsi="宋体"/>
                <w:bCs/>
                <w:sz w:val="21"/>
                <w:szCs w:val="21"/>
                <w:lang w:val="en-US" w:eastAsia="zh-CN"/>
              </w:rPr>
              <w:t>1、</w:t>
            </w:r>
            <w:r>
              <w:rPr>
                <w:rFonts w:hint="eastAsia" w:ascii="宋体" w:hAnsi="宋体"/>
                <w:bCs/>
                <w:sz w:val="21"/>
                <w:szCs w:val="21"/>
                <w:lang w:eastAsia="zh-CN"/>
              </w:rPr>
              <w:t xml:space="preserve">客户满意度≧90% </w:t>
            </w:r>
          </w:p>
          <w:p>
            <w:pPr>
              <w:spacing w:line="360" w:lineRule="auto"/>
              <w:rPr>
                <w:rFonts w:hint="eastAsia" w:ascii="宋体" w:hAnsi="宋体"/>
                <w:bCs/>
                <w:sz w:val="21"/>
                <w:szCs w:val="21"/>
                <w:lang w:eastAsia="zh-CN"/>
              </w:rPr>
            </w:pPr>
            <w:r>
              <w:rPr>
                <w:rFonts w:hint="eastAsia" w:ascii="宋体" w:hAnsi="宋体"/>
                <w:bCs/>
                <w:sz w:val="21"/>
                <w:szCs w:val="21"/>
                <w:lang w:val="en-US" w:eastAsia="zh-CN"/>
              </w:rPr>
              <w:t>2、</w:t>
            </w:r>
            <w:r>
              <w:rPr>
                <w:rFonts w:hint="eastAsia" w:ascii="宋体" w:hAnsi="宋体"/>
                <w:bCs/>
                <w:sz w:val="21"/>
                <w:szCs w:val="21"/>
                <w:lang w:eastAsia="zh-CN"/>
              </w:rPr>
              <w:t xml:space="preserve">产品一次性交付合格率100%   </w:t>
            </w:r>
          </w:p>
          <w:p>
            <w:pPr>
              <w:spacing w:line="360" w:lineRule="auto"/>
              <w:rPr>
                <w:rFonts w:ascii="宋体" w:hAnsi="宋体"/>
                <w:b/>
                <w:color w:val="000000" w:themeColor="text1"/>
              </w:rPr>
            </w:pPr>
            <w:r>
              <w:rPr>
                <w:rFonts w:hint="eastAsia" w:ascii="宋体" w:hAnsi="宋体"/>
                <w:bCs/>
                <w:sz w:val="21"/>
                <w:szCs w:val="21"/>
                <w:lang w:val="en-US" w:eastAsia="zh-CN"/>
              </w:rPr>
              <w:t>3、</w:t>
            </w:r>
            <w:r>
              <w:rPr>
                <w:rFonts w:hint="eastAsia" w:ascii="宋体" w:hAnsi="宋体"/>
                <w:bCs/>
                <w:sz w:val="21"/>
                <w:szCs w:val="21"/>
                <w:lang w:eastAsia="zh-CN"/>
              </w:rPr>
              <w:t>合同履行率100%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w:t>
            </w:r>
            <w:r>
              <w:rPr>
                <w:rFonts w:hint="eastAsia" w:ascii="宋体" w:hAnsi="宋体" w:eastAsia="宋体" w:cs="宋体"/>
                <w:color w:val="000000" w:themeColor="text1"/>
              </w:rPr>
              <w:t>于</w:t>
            </w:r>
            <w:r>
              <w:rPr>
                <w:rFonts w:hint="eastAsia" w:ascii="宋体" w:hAnsi="宋体" w:eastAsia="宋体" w:cs="宋体"/>
                <w:color w:val="000000" w:themeColor="text1"/>
                <w:lang w:eastAsia="zh-CN"/>
              </w:rPr>
              <w:t>2020年1月1日</w:t>
            </w:r>
            <w:r>
              <w:rPr>
                <w:rFonts w:hint="eastAsia" w:ascii="宋体" w:hAnsi="宋体" w:eastAsia="宋体" w:cs="宋体"/>
                <w:color w:val="000000" w:themeColor="text1"/>
              </w:rPr>
              <w:t>予以发布并有效实施运行，经对文件评审判定：符合标准要求，符合公司的实际且具有可操作性。组织对管理体系文件化信息进行了有效性管理，包括文件的格式、标识、批准、</w:t>
            </w:r>
            <w:r>
              <w:rPr>
                <w:rFonts w:hint="eastAsia" w:ascii="宋体" w:hAnsi="宋体" w:cs="宋体"/>
                <w:color w:val="000000" w:themeColor="text1"/>
              </w:rPr>
              <w:t>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hint="eastAsia"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织按管理体系需求配置了充足的人员、设施等资源，并建立维持了</w:t>
            </w:r>
            <w:r>
              <w:rPr>
                <w:rFonts w:hint="eastAsia" w:ascii="宋体" w:hAnsi="宋体"/>
                <w:szCs w:val="21"/>
              </w:rPr>
              <w:t>产品的销售</w:t>
            </w:r>
            <w:r>
              <w:rPr>
                <w:rFonts w:hint="eastAsia" w:ascii="宋体" w:hAnsi="宋体"/>
                <w:bCs/>
                <w:iCs/>
                <w:szCs w:val="22"/>
              </w:rPr>
              <w:t>及相关服务运行环境，可以维持管理体系的正常运行。</w:t>
            </w:r>
          </w:p>
          <w:p>
            <w:pPr>
              <w:spacing w:line="300" w:lineRule="exact"/>
              <w:rPr>
                <w:rFonts w:hint="eastAsia"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p>
            <w:pPr>
              <w:spacing w:line="30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auto"/>
                <w:sz w:val="20"/>
                <w:szCs w:val="20"/>
              </w:rPr>
            </w:pPr>
            <w:r>
              <w:rPr>
                <w:rFonts w:hint="eastAsia" w:ascii="宋体" w:hAnsi="宋体"/>
                <w:color w:val="auto"/>
                <w:szCs w:val="21"/>
                <w:lang w:eastAsia="zh-CN"/>
              </w:rPr>
              <w:t>公司</w:t>
            </w:r>
            <w:r>
              <w:rPr>
                <w:rFonts w:hint="eastAsia" w:ascii="宋体" w:hAnsi="宋体"/>
                <w:color w:val="auto"/>
                <w:szCs w:val="21"/>
              </w:rPr>
              <w:t>办公场</w:t>
            </w:r>
            <w:r>
              <w:rPr>
                <w:rFonts w:hint="eastAsia" w:ascii="宋体" w:hAnsi="宋体"/>
                <w:color w:val="auto"/>
                <w:szCs w:val="21"/>
                <w:lang w:eastAsia="zh-CN"/>
              </w:rPr>
              <w:t>面积</w:t>
            </w:r>
            <w:r>
              <w:rPr>
                <w:rFonts w:hint="eastAsia" w:ascii="宋体" w:hAnsi="宋体"/>
                <w:color w:val="auto"/>
                <w:szCs w:val="21"/>
                <w:lang w:val="en-US" w:eastAsia="zh-CN"/>
              </w:rPr>
              <w:t>400</w:t>
            </w:r>
            <w:r>
              <w:rPr>
                <w:rFonts w:hint="eastAsia" w:ascii="宋体" w:hAnsi="宋体"/>
                <w:color w:val="auto"/>
                <w:szCs w:val="21"/>
              </w:rPr>
              <w:t>平方左右</w:t>
            </w:r>
            <w:r>
              <w:rPr>
                <w:rFonts w:hint="eastAsia" w:ascii="宋体" w:hAnsi="宋体"/>
                <w:color w:val="auto"/>
                <w:szCs w:val="21"/>
                <w:lang w:eastAsia="zh-CN"/>
              </w:rPr>
              <w:t>，生产车间面积</w:t>
            </w:r>
            <w:r>
              <w:rPr>
                <w:rFonts w:hint="eastAsia" w:ascii="宋体" w:hAnsi="宋体"/>
                <w:color w:val="auto"/>
                <w:szCs w:val="21"/>
                <w:lang w:val="en-US" w:eastAsia="zh-CN"/>
              </w:rPr>
              <w:t>2000平方米左右</w:t>
            </w:r>
            <w:r>
              <w:rPr>
                <w:rFonts w:hint="eastAsia" w:ascii="宋体" w:hAnsi="宋体"/>
                <w:color w:val="auto"/>
                <w:szCs w:val="21"/>
              </w:rPr>
              <w:t>.主要</w:t>
            </w:r>
            <w:r>
              <w:rPr>
                <w:rFonts w:hint="eastAsia" w:ascii="宋体" w:hAnsi="宋体"/>
                <w:color w:val="auto"/>
                <w:szCs w:val="21"/>
                <w:lang w:eastAsia="zh-CN"/>
              </w:rPr>
              <w:t>生产</w:t>
            </w:r>
            <w:r>
              <w:rPr>
                <w:rFonts w:hint="eastAsia" w:ascii="宋体" w:hAnsi="宋体"/>
                <w:color w:val="auto"/>
                <w:szCs w:val="21"/>
              </w:rPr>
              <w:t>设备包括：冲床(</w:t>
            </w:r>
            <w:r>
              <w:rPr>
                <w:rFonts w:hint="eastAsia" w:ascii="宋体" w:hAnsi="宋体"/>
                <w:color w:val="auto"/>
                <w:szCs w:val="21"/>
                <w:lang w:eastAsia="zh-CN"/>
              </w:rPr>
              <w:t>液</w:t>
            </w:r>
            <w:r>
              <w:rPr>
                <w:rFonts w:hint="eastAsia" w:ascii="宋体" w:hAnsi="宋体"/>
                <w:color w:val="auto"/>
                <w:szCs w:val="21"/>
              </w:rPr>
              <w:t>压冲床)</w:t>
            </w:r>
            <w:r>
              <w:rPr>
                <w:rFonts w:hint="eastAsia" w:ascii="宋体" w:hAnsi="宋体"/>
                <w:color w:val="auto"/>
                <w:szCs w:val="21"/>
                <w:lang w:eastAsia="zh-CN"/>
              </w:rPr>
              <w:t>、</w:t>
            </w:r>
            <w:r>
              <w:rPr>
                <w:rFonts w:hint="eastAsia"/>
              </w:rPr>
              <w:t>LED模块自动测试仪</w:t>
            </w:r>
            <w:r>
              <w:rPr>
                <w:rFonts w:hint="eastAsia" w:ascii="宋体" w:hAnsi="宋体"/>
                <w:szCs w:val="21"/>
                <w:highlight w:val="none"/>
                <w:lang w:eastAsia="zh-CN"/>
              </w:rPr>
              <w:t>、</w:t>
            </w:r>
            <w:r>
              <w:rPr>
                <w:rFonts w:hint="eastAsia"/>
              </w:rPr>
              <w:t>静电测试仪</w:t>
            </w:r>
            <w:r>
              <w:rPr>
                <w:rFonts w:hint="eastAsia" w:ascii="宋体" w:hAnsi="宋体"/>
                <w:szCs w:val="21"/>
                <w:highlight w:val="none"/>
                <w:lang w:eastAsia="zh-CN"/>
              </w:rPr>
              <w:t>、</w:t>
            </w:r>
            <w:r>
              <w:rPr>
                <w:rFonts w:hint="eastAsia" w:ascii="宋体" w:hAnsi="宋体"/>
                <w:color w:val="000000"/>
              </w:rPr>
              <w:t>台钻钻床</w:t>
            </w:r>
            <w:r>
              <w:rPr>
                <w:rFonts w:hint="eastAsia" w:ascii="宋体" w:hAnsi="宋体"/>
                <w:szCs w:val="21"/>
                <w:highlight w:val="none"/>
                <w:lang w:eastAsia="zh-CN"/>
              </w:rPr>
              <w:t>、</w:t>
            </w:r>
            <w:r>
              <w:rPr>
                <w:rFonts w:hint="eastAsia" w:ascii="宋体" w:hAnsi="宋体"/>
                <w:color w:val="000000"/>
              </w:rPr>
              <w:t>新型机械闸式剪板机</w:t>
            </w:r>
            <w:r>
              <w:rPr>
                <w:rFonts w:hint="eastAsia" w:ascii="宋体" w:hAnsi="宋体"/>
                <w:szCs w:val="21"/>
                <w:highlight w:val="none"/>
                <w:lang w:eastAsia="zh-CN"/>
              </w:rPr>
              <w:t>、</w:t>
            </w:r>
            <w:r>
              <w:rPr>
                <w:rFonts w:hint="eastAsia"/>
              </w:rPr>
              <w:t>光谱分析系统</w:t>
            </w:r>
            <w:r>
              <w:rPr>
                <w:rFonts w:hint="eastAsia" w:ascii="宋体" w:hAnsi="宋体"/>
                <w:szCs w:val="21"/>
                <w:highlight w:val="none"/>
                <w:lang w:eastAsia="zh-CN"/>
              </w:rPr>
              <w:t>、</w:t>
            </w:r>
            <w:r>
              <w:rPr>
                <w:rFonts w:hint="eastAsia"/>
              </w:rPr>
              <w:t>LED专用积分球</w:t>
            </w:r>
            <w:r>
              <w:rPr>
                <w:rFonts w:hint="eastAsia" w:ascii="宋体" w:hAnsi="宋体"/>
                <w:szCs w:val="21"/>
                <w:highlight w:val="none"/>
                <w:lang w:eastAsia="zh-CN"/>
              </w:rPr>
              <w:t>、</w:t>
            </w:r>
            <w:r>
              <w:rPr>
                <w:rFonts w:hint="eastAsia" w:ascii="宋体" w:hAnsi="宋体"/>
                <w:color w:val="000000"/>
              </w:rPr>
              <w:t>高速端子压着机</w:t>
            </w:r>
            <w:r>
              <w:rPr>
                <w:rFonts w:hint="eastAsia" w:ascii="宋体" w:hAnsi="宋体"/>
                <w:color w:val="000000"/>
                <w:lang w:eastAsia="zh-CN"/>
              </w:rPr>
              <w:t>、</w:t>
            </w:r>
            <w:r>
              <w:rPr>
                <w:rFonts w:hint="eastAsia" w:ascii="宋体" w:hAnsi="宋体"/>
                <w:color w:val="000000"/>
              </w:rPr>
              <w:t>电气动剥线机</w:t>
            </w:r>
            <w:r>
              <w:rPr>
                <w:rFonts w:hint="eastAsia" w:ascii="宋体" w:hAnsi="宋体"/>
                <w:szCs w:val="21"/>
                <w:highlight w:val="none"/>
                <w:lang w:eastAsia="zh-CN"/>
              </w:rPr>
              <w:t>、</w:t>
            </w:r>
            <w:r>
              <w:rPr>
                <w:rFonts w:hint="eastAsia" w:ascii="宋体" w:hAnsi="宋体"/>
                <w:szCs w:val="21"/>
                <w:highlight w:val="none"/>
              </w:rPr>
              <w:t>电脑</w:t>
            </w:r>
            <w:r>
              <w:rPr>
                <w:rFonts w:hint="eastAsia" w:ascii="宋体" w:hAnsi="宋体"/>
                <w:szCs w:val="21"/>
                <w:highlight w:val="none"/>
                <w:lang w:eastAsia="zh-CN"/>
              </w:rPr>
              <w:t>及</w:t>
            </w:r>
            <w:r>
              <w:rPr>
                <w:rFonts w:hint="eastAsia" w:ascii="宋体" w:hAnsi="宋体"/>
                <w:szCs w:val="21"/>
                <w:highlight w:val="none"/>
              </w:rPr>
              <w:t>办公设备</w:t>
            </w:r>
            <w:r>
              <w:rPr>
                <w:rFonts w:hint="eastAsia" w:ascii="宋体" w:hAnsi="宋体" w:cs="宋体"/>
                <w:szCs w:val="21"/>
                <w:highlight w:val="none"/>
              </w:rPr>
              <w:t>等</w:t>
            </w:r>
            <w:r>
              <w:rPr>
                <w:rFonts w:hint="eastAsia" w:ascii="宋体" w:hAnsi="宋体" w:eastAsia="宋体" w:cs="Times New Roman"/>
                <w:color w:val="FF0000"/>
                <w:szCs w:val="21"/>
              </w:rPr>
              <w:t>，</w:t>
            </w:r>
            <w:r>
              <w:rPr>
                <w:rFonts w:hint="eastAsia" w:ascii="宋体" w:hAnsi="宋体" w:eastAsia="宋体" w:cs="Times New Roman"/>
                <w:color w:val="auto"/>
                <w:szCs w:val="21"/>
              </w:rPr>
              <w:t>可以满足网络运维 ；计算机及辅助设备销售需要。对设备按月方</w:t>
            </w:r>
            <w:r>
              <w:rPr>
                <w:rFonts w:hint="eastAsia" w:ascii="宋体" w:hAnsi="宋体"/>
                <w:color w:val="auto"/>
                <w:szCs w:val="21"/>
              </w:rPr>
              <w:t>式进行点检维护保养，并实施。特种设备：无。公司未建立信息管理系统用于生产和服务。</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color w:val="auto"/>
                <w:szCs w:val="21"/>
              </w:rPr>
              <w:t>办公室</w:t>
            </w:r>
            <w:r>
              <w:rPr>
                <w:rFonts w:hint="eastAsia" w:ascii="宋体" w:hAnsi="宋体" w:cs="宋体"/>
                <w:color w:val="auto"/>
                <w:szCs w:val="21"/>
                <w:lang w:eastAsia="zh-CN"/>
              </w:rPr>
              <w:t>及生产车间</w:t>
            </w:r>
            <w:r>
              <w:rPr>
                <w:rFonts w:hint="eastAsia" w:ascii="宋体" w:hAnsi="宋体" w:cs="宋体"/>
                <w:color w:val="auto"/>
                <w:szCs w:val="21"/>
              </w:rPr>
              <w:t>内设备布置合理，通道畅通，照明设施齐全，均配备了消防设施等设施。办公室明亮，作业场所光线较充足。每月由</w:t>
            </w:r>
            <w:r>
              <w:rPr>
                <w:rFonts w:hint="eastAsia" w:ascii="宋体" w:hAnsi="宋体" w:cs="宋体"/>
                <w:color w:val="auto"/>
                <w:szCs w:val="21"/>
                <w:lang w:eastAsia="zh-CN"/>
              </w:rPr>
              <w:t>行政部</w:t>
            </w:r>
            <w:r>
              <w:rPr>
                <w:rFonts w:hint="eastAsia" w:ascii="宋体" w:hAnsi="宋体" w:cs="宋体"/>
                <w:color w:val="auto"/>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eastAsia" w:ascii="宋体" w:hAnsi="宋体" w:eastAsia="宋体"/>
                <w:b/>
                <w:color w:val="000000" w:themeColor="text1"/>
                <w:sz w:val="20"/>
                <w:szCs w:val="20"/>
                <w:lang w:eastAsia="zh-CN"/>
              </w:rPr>
            </w:pPr>
            <w:r>
              <w:rPr>
                <w:rFonts w:hint="eastAsia" w:ascii="宋体" w:hAnsi="宋体" w:cs="宋体"/>
                <w:color w:val="auto"/>
                <w:szCs w:val="21"/>
              </w:rPr>
              <w:t>公司</w:t>
            </w:r>
            <w:r>
              <w:rPr>
                <w:rFonts w:hint="eastAsia" w:ascii="宋体" w:hAnsi="宋体" w:cs="宋体"/>
                <w:color w:val="auto"/>
                <w:szCs w:val="21"/>
                <w:lang w:eastAsia="zh-CN"/>
              </w:rPr>
              <w:t>配备有</w:t>
            </w:r>
            <w:r>
              <w:rPr>
                <w:rFonts w:hint="eastAsia"/>
                <w:szCs w:val="21"/>
                <w:highlight w:val="none"/>
                <w:lang w:eastAsia="zh-CN"/>
              </w:rPr>
              <w:t>游标卡尺、钢卷尺、万用表、屏幕亮度计、照度计等，提供有有效检定或校准证书。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rFonts w:hint="eastAsia"/>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hint="eastAsia"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val="en-US" w:eastAsia="zh-CN"/>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销售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销售服务过程，从审核过程看，公司的产品质量管理基本受控。QMS</w:t>
            </w:r>
            <w:r>
              <w:rPr>
                <w:rFonts w:hint="eastAsia" w:ascii="宋体" w:hAnsi="宋体" w:cs="宋体"/>
                <w:color w:val="auto"/>
                <w:szCs w:val="21"/>
              </w:rPr>
              <w:t>关键工序：</w:t>
            </w:r>
            <w:r>
              <w:rPr>
                <w:rFonts w:hint="eastAsia" w:ascii="宋体" w:hAnsi="宋体" w:cs="宋体"/>
                <w:color w:val="auto"/>
                <w:szCs w:val="21"/>
                <w:lang w:eastAsia="zh-CN"/>
              </w:rPr>
              <w:t>研发设计；产品装配、检测；产品</w:t>
            </w:r>
            <w:r>
              <w:rPr>
                <w:rFonts w:hint="eastAsia" w:ascii="宋体" w:hAnsi="宋体" w:cs="宋体"/>
                <w:color w:val="auto"/>
                <w:szCs w:val="21"/>
              </w:rPr>
              <w:t>销售</w:t>
            </w:r>
            <w:r>
              <w:rPr>
                <w:rFonts w:hint="eastAsia" w:ascii="宋体" w:hAnsi="宋体" w:cs="宋体"/>
                <w:color w:val="auto"/>
                <w:szCs w:val="21"/>
                <w:lang w:val="en-US" w:eastAsia="zh-CN"/>
              </w:rPr>
              <w:t>服务过程。</w:t>
            </w:r>
            <w:r>
              <w:rPr>
                <w:rFonts w:hint="eastAsia" w:ascii="宋体" w:hAnsi="宋体" w:cs="宋体"/>
                <w:color w:val="000000"/>
                <w:szCs w:val="21"/>
              </w:rPr>
              <w:t>特殊过程：</w:t>
            </w:r>
            <w:r>
              <w:rPr>
                <w:rFonts w:hint="eastAsia" w:ascii="宋体" w:hAnsi="宋体" w:cs="宋体"/>
                <w:color w:val="000000"/>
                <w:szCs w:val="21"/>
                <w:lang w:eastAsia="zh-CN"/>
              </w:rPr>
              <w:t>线路敷设、老化过程。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服务质量实施检查与验收的管理要求。内容基本具备全面性、系统性及可操作性。质量检查与验收均在交付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lang w:val="en-US" w:eastAsia="zh-CN"/>
              </w:rPr>
              <w:t>现场</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w:t>
            </w:r>
            <w:r>
              <w:rPr>
                <w:rFonts w:hint="eastAsia" w:ascii="宋体" w:hAnsi="宋体" w:eastAsia="宋体" w:cs="宋体"/>
                <w:color w:val="000000"/>
                <w:szCs w:val="21"/>
              </w:rPr>
              <w:t>次，规定了目标值、计算方法、责任部门、检查人、考核频次等。同时，质量目标得到沟通和监视评价，通过数据的汇总统计、描述性统计等方法对目标进行了测量，总体已达到或超过了规</w:t>
            </w:r>
            <w:r>
              <w:rPr>
                <w:rFonts w:hint="eastAsia" w:ascii="宋体" w:hAnsi="宋体" w:eastAsia="宋体" w:cs="宋体"/>
                <w:color w:val="000000"/>
                <w:szCs w:val="21"/>
                <w:highlight w:val="none"/>
              </w:rPr>
              <w:t>定的目标值。通过2020</w:t>
            </w:r>
            <w:r>
              <w:rPr>
                <w:rFonts w:hint="eastAsia" w:ascii="宋体" w:hAnsi="宋体" w:eastAsia="宋体" w:cs="宋体"/>
                <w:color w:val="000000"/>
                <w:szCs w:val="21"/>
                <w:highlight w:val="none"/>
                <w:lang w:val="en-US" w:eastAsia="zh-CN"/>
              </w:rPr>
              <w:t>年</w:t>
            </w:r>
            <w:r>
              <w:rPr>
                <w:rFonts w:hint="eastAsia" w:ascii="宋体" w:hAnsi="宋体" w:eastAsia="宋体" w:cs="宋体"/>
                <w:color w:val="000000"/>
                <w:szCs w:val="21"/>
                <w:highlight w:val="none"/>
              </w:rPr>
              <w:t>1-</w:t>
            </w:r>
            <w:r>
              <w:rPr>
                <w:rFonts w:hint="eastAsia" w:ascii="宋体" w:hAnsi="宋体" w:cs="宋体"/>
                <w:color w:val="000000"/>
                <w:szCs w:val="21"/>
                <w:highlight w:val="none"/>
                <w:lang w:val="en-US" w:eastAsia="zh-CN"/>
              </w:rPr>
              <w:t>6</w:t>
            </w:r>
            <w:r>
              <w:rPr>
                <w:rFonts w:hint="eastAsia" w:ascii="宋体" w:hAnsi="宋体" w:eastAsia="宋体" w:cs="宋体"/>
                <w:color w:val="000000"/>
                <w:szCs w:val="21"/>
                <w:highlight w:val="none"/>
              </w:rPr>
              <w:t>月目</w:t>
            </w:r>
            <w:r>
              <w:rPr>
                <w:rFonts w:hint="eastAsia" w:ascii="宋体" w:hAnsi="宋体" w:cs="宋体"/>
                <w:color w:val="000000"/>
                <w:szCs w:val="21"/>
                <w:highlight w:val="none"/>
              </w:rPr>
              <w:t>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4"/>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240" w:lineRule="exact"/>
              <w:ind w:leftChars="-50"/>
              <w:rPr>
                <w:rFonts w:hint="eastAsia"/>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eastAsia="宋体" w:cs="宋体"/>
                <w:color w:val="000000"/>
                <w:szCs w:val="21"/>
              </w:rPr>
              <w:t>，</w:t>
            </w:r>
            <w:r>
              <w:rPr>
                <w:rFonts w:hint="eastAsia" w:ascii="宋体" w:hAnsi="宋体" w:eastAsia="宋体" w:cs="宋体"/>
                <w:color w:val="000000"/>
                <w:szCs w:val="21"/>
                <w:lang w:eastAsia="zh-CN"/>
              </w:rPr>
              <w:t>2020年</w:t>
            </w:r>
            <w:r>
              <w:rPr>
                <w:rFonts w:hint="eastAsia" w:ascii="宋体" w:hAnsi="宋体" w:cs="宋体"/>
                <w:color w:val="000000"/>
                <w:szCs w:val="21"/>
                <w:lang w:val="en-US" w:eastAsia="zh-CN"/>
              </w:rPr>
              <w:t>3</w:t>
            </w:r>
            <w:r>
              <w:rPr>
                <w:rFonts w:hint="eastAsia" w:ascii="宋体" w:hAnsi="宋体" w:eastAsia="宋体" w:cs="宋体"/>
                <w:color w:val="000000"/>
                <w:szCs w:val="21"/>
                <w:lang w:eastAsia="zh-CN"/>
              </w:rPr>
              <w:t>月</w:t>
            </w:r>
            <w:r>
              <w:rPr>
                <w:rFonts w:hint="eastAsia" w:ascii="宋体" w:hAnsi="宋体" w:eastAsia="宋体" w:cs="宋体"/>
                <w:color w:val="000000"/>
                <w:szCs w:val="21"/>
              </w:rPr>
              <w:t>实施，顾客满意度9</w:t>
            </w:r>
            <w:r>
              <w:rPr>
                <w:rFonts w:hint="eastAsia" w:ascii="宋体" w:hAnsi="宋体" w:eastAsia="宋体" w:cs="宋体"/>
                <w:color w:val="000000"/>
                <w:szCs w:val="21"/>
                <w:lang w:val="en-US" w:eastAsia="zh-CN"/>
              </w:rPr>
              <w:t>1%</w:t>
            </w:r>
            <w:r>
              <w:rPr>
                <w:rFonts w:hint="eastAsia" w:ascii="宋体" w:hAnsi="宋体" w:eastAsia="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420" w:firstLineChars="200"/>
              <w:rPr>
                <w:rFonts w:hint="eastAsia" w:ascii="Times New Roman" w:hAnsi="Times New Roman" w:eastAsia="宋体" w:cs="Times New Roman"/>
                <w:szCs w:val="21"/>
              </w:rPr>
            </w:pPr>
          </w:p>
          <w:p>
            <w:pPr>
              <w:spacing w:line="2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建立有《内部审核控制程序》，规定了内审频次一年一次，内审时间：2020年4月10日，拟定了审核实施表，明确了内审范围，内审人员经培训合格上岗，能力满足要求</w:t>
            </w:r>
            <w:r>
              <w:rPr>
                <w:rFonts w:hint="eastAsia"/>
                <w:szCs w:val="21"/>
              </w:rPr>
              <w:t>，未出现审核本部门情况，内审不符合项1项，涉及</w:t>
            </w:r>
            <w:r>
              <w:rPr>
                <w:rFonts w:hint="eastAsia"/>
                <w:szCs w:val="21"/>
                <w:lang w:val="en-US" w:eastAsia="zh-CN"/>
              </w:rPr>
              <w:t>行政部</w:t>
            </w:r>
            <w:r>
              <w:rPr>
                <w:rFonts w:hint="eastAsia"/>
                <w:b/>
              </w:rPr>
              <w:t>7.5.3</w:t>
            </w:r>
            <w:r>
              <w:rPr>
                <w:rFonts w:hint="eastAsia"/>
                <w:szCs w:val="21"/>
              </w:rPr>
              <w:t>条款，不符合事实描述</w:t>
            </w:r>
            <w:r>
              <w:rPr>
                <w:rFonts w:hint="eastAsia" w:ascii="宋体" w:hAnsi="宋体" w:cs="黑体"/>
                <w:kern w:val="0"/>
                <w:sz w:val="24"/>
                <w:lang w:val="zh-CN"/>
              </w:rPr>
              <w:t>查</w:t>
            </w:r>
            <w:r>
              <w:rPr>
                <w:rFonts w:hint="eastAsia" w:ascii="Times New Roman" w:hAnsi="Times New Roman" w:eastAsia="宋体" w:cs="Times New Roman"/>
                <w:szCs w:val="21"/>
                <w:lang w:val="zh-CN"/>
              </w:rPr>
              <w:t>“记录一览表”，明确了记录名称/记录编号/版本，未明确保存部门/保存期限</w:t>
            </w:r>
            <w:r>
              <w:rPr>
                <w:rFonts w:hint="eastAsia" w:ascii="Times New Roman" w:hAnsi="Times New Roman" w:eastAsia="宋体" w:cs="Times New Roman"/>
                <w:szCs w:val="21"/>
              </w:rPr>
              <w:t>。针对该不符合项，已及时采取纠正措施后，经内审员验证关闭。内审的有效性需要改善。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管理评审频次为一年一次、本次管理评审于2020年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highlight w:val="none"/>
              </w:rPr>
            </w:pPr>
            <w:r>
              <w:rPr>
                <w:rFonts w:hint="eastAsia"/>
                <w:b/>
                <w:color w:val="000000" w:themeColor="text1"/>
                <w:sz w:val="20"/>
                <w:szCs w:val="20"/>
                <w:highlight w:val="none"/>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w:t>
            </w:r>
            <w:bookmarkStart w:id="22" w:name="_GoBack"/>
            <w:bookmarkEnd w:id="22"/>
            <w:r>
              <w:rPr>
                <w:rFonts w:hint="eastAsia"/>
                <w:b/>
                <w:color w:val="000000" w:themeColor="text1"/>
                <w:sz w:val="20"/>
                <w:szCs w:val="20"/>
              </w:rPr>
              <w:t>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1</w:t>
      </w:r>
      <w:r>
        <w:rPr>
          <w:rFonts w:hint="eastAsia"/>
          <w:b/>
          <w:color w:val="000000" w:themeColor="text1"/>
          <w:highlight w:val="none"/>
        </w:rPr>
        <w:t>项；其中</w:t>
      </w:r>
      <w:r>
        <w:rPr>
          <w:b/>
          <w:color w:val="000000" w:themeColor="text1"/>
          <w:highlight w:val="none"/>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0</w:t>
      </w:r>
      <w:r>
        <w:rPr>
          <w:rFonts w:hint="eastAsia"/>
          <w:b/>
          <w:color w:val="000000" w:themeColor="text1"/>
          <w:highlight w:val="none"/>
        </w:rPr>
        <w:t>项，一般不符合</w:t>
      </w:r>
      <w:r>
        <w:rPr>
          <w:rFonts w:hint="eastAsia"/>
          <w:b/>
          <w:color w:val="000000" w:themeColor="text1"/>
          <w:highlight w:val="none"/>
          <w:lang w:val="en-US" w:eastAsia="zh-CN"/>
        </w:rPr>
        <w:t>1</w:t>
      </w:r>
      <w:r>
        <w:rPr>
          <w:rFonts w:hint="eastAsia"/>
          <w:b/>
          <w:color w:val="000000" w:themeColor="text1"/>
          <w:highlight w:val="none"/>
        </w:rPr>
        <w:t>项，观察项项分布在部门</w:t>
      </w:r>
      <w:r>
        <w:rPr>
          <w:rFonts w:hint="eastAsia"/>
          <w:b/>
          <w:color w:val="000000" w:themeColor="text1"/>
          <w:highlight w:val="none"/>
          <w:lang w:eastAsia="zh-CN"/>
        </w:rPr>
        <w:t>生产部</w:t>
      </w:r>
      <w:r>
        <w:rPr>
          <w:rFonts w:hint="eastAsia"/>
          <w:b/>
          <w:color w:val="000000" w:themeColor="text1"/>
          <w:highlight w:val="none"/>
          <w:lang w:val="en-US" w:eastAsia="zh-CN"/>
        </w:rPr>
        <w:t>Q8.5.1</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A3"/>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审核范围变更，</w:t>
            </w:r>
          </w:p>
          <w:p>
            <w:pPr>
              <w:spacing w:line="320" w:lineRule="exact"/>
              <w:rPr>
                <w:rFonts w:hint="eastAsia" w:ascii="宋体" w:hAnsi="宋体" w:eastAsia="宋体"/>
                <w:b/>
                <w:color w:val="000000" w:themeColor="text1"/>
                <w:u w:val="single"/>
                <w:lang w:eastAsia="zh-CN"/>
              </w:rPr>
            </w:pPr>
            <w:r>
              <w:rPr>
                <w:rFonts w:ascii="宋体" w:hAnsi="宋体"/>
                <w:b/>
                <w:color w:val="000000" w:themeColor="text1"/>
              </w:rPr>
              <w:t>QMS:</w:t>
            </w:r>
            <w:r>
              <w:rPr>
                <w:sz w:val="20"/>
              </w:rPr>
              <w:t>计算机信息系统集成；LED应用产品的设计、生产、销售（3C许可范围内除外）</w:t>
            </w:r>
            <w:r>
              <w:rPr>
                <w:rFonts w:hint="eastAsia"/>
                <w:sz w:val="20"/>
                <w:lang w:eastAsia="zh-CN"/>
              </w:rPr>
              <w:t>。</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A3"/>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A3"/>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w:t>
      </w:r>
      <w:r>
        <w:rPr>
          <w:rFonts w:hint="eastAsia"/>
          <w:b/>
          <w:color w:val="000000" w:themeColor="text1"/>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16"/>
          <w:szCs w:val="1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anchor distT="0" distB="0" distL="114300" distR="114300" simplePos="0" relativeHeight="251661312" behindDoc="0" locked="0" layoutInCell="1" allowOverlap="1">
            <wp:simplePos x="0" y="0"/>
            <wp:positionH relativeFrom="column">
              <wp:posOffset>1531620</wp:posOffset>
            </wp:positionH>
            <wp:positionV relativeFrom="paragraph">
              <wp:posOffset>0</wp:posOffset>
            </wp:positionV>
            <wp:extent cx="691515" cy="427990"/>
            <wp:effectExtent l="0" t="0" r="9525" b="13970"/>
            <wp:wrapSquare wrapText="bothSides"/>
            <wp:docPr id="3" name="图片 4" descr="930e597befd0956713be19ef558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930e597befd0956713be19ef5580040"/>
                    <pic:cNvPicPr>
                      <a:picLocks noChangeAspect="1"/>
                    </pic:cNvPicPr>
                  </pic:nvPicPr>
                  <pic:blipFill>
                    <a:blip r:embed="rId6"/>
                    <a:stretch>
                      <a:fillRect/>
                    </a:stretch>
                  </pic:blipFill>
                  <pic:spPr>
                    <a:xfrm>
                      <a:off x="0" y="0"/>
                      <a:ext cx="691515" cy="427990"/>
                    </a:xfrm>
                    <a:prstGeom prst="rect">
                      <a:avLst/>
                    </a:prstGeom>
                    <a:noFill/>
                    <a:ln>
                      <a:noFill/>
                    </a:ln>
                  </pic:spPr>
                </pic:pic>
              </a:graphicData>
            </a:graphic>
          </wp:anchor>
        </w:drawing>
      </w:r>
    </w:p>
    <w:p>
      <w:pPr>
        <w:snapToGrid w:val="0"/>
        <w:spacing w:before="156" w:beforeLines="50" w:line="360" w:lineRule="auto"/>
        <w:ind w:firstLine="600" w:firstLineChars="250"/>
        <w:rPr>
          <w:b/>
          <w:color w:val="000000" w:themeColor="text1"/>
        </w:rPr>
      </w:pPr>
      <w:r>
        <w:rPr>
          <w:rFonts w:ascii="宋体" w:hAnsi="宋体" w:eastAsia="宋体" w:cs="宋体"/>
          <w:sz w:val="24"/>
          <w:szCs w:val="24"/>
        </w:rPr>
        <w:drawing>
          <wp:anchor distT="0" distB="0" distL="114300" distR="114300" simplePos="0" relativeHeight="251664384" behindDoc="0" locked="0" layoutInCell="1" allowOverlap="1">
            <wp:simplePos x="0" y="0"/>
            <wp:positionH relativeFrom="column">
              <wp:posOffset>1600200</wp:posOffset>
            </wp:positionH>
            <wp:positionV relativeFrom="paragraph">
              <wp:posOffset>217170</wp:posOffset>
            </wp:positionV>
            <wp:extent cx="447040" cy="335280"/>
            <wp:effectExtent l="0" t="0" r="10160" b="0"/>
            <wp:wrapSquare wrapText="bothSides"/>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7"/>
                    <a:stretch>
                      <a:fillRect/>
                    </a:stretch>
                  </pic:blipFill>
                  <pic:spPr>
                    <a:xfrm>
                      <a:off x="0" y="0"/>
                      <a:ext cx="447040" cy="33528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color w:val="000000"/>
          <w:szCs w:val="21"/>
        </w:rPr>
        <w:t>2020年07月18日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color w:val="000000" w:themeColor="text1"/>
          <w:spacing w:val="-10"/>
          <w:szCs w:val="21"/>
          <w:highlight w:val="none"/>
        </w:rPr>
        <w:sym w:font="Wingdings 2" w:char="0052"/>
      </w:r>
      <w:r>
        <w:rPr>
          <w:rFonts w:hint="eastAsia"/>
          <w:b/>
          <w:color w:val="000000" w:themeColor="text1"/>
          <w:szCs w:val="21"/>
          <w:highlight w:val="none"/>
        </w:rPr>
        <w:t xml:space="preserve">QMS(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pacing w:val="-10"/>
          <w:szCs w:val="21"/>
          <w:highlight w:val="none"/>
        </w:rPr>
        <w:sym w:font="Wingdings 2" w:char="0052"/>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EMS(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OHSMS(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color w:val="000000" w:themeColor="text1"/>
          <w:szCs w:val="21"/>
          <w:highlight w:val="none"/>
        </w:rPr>
        <w:t>存在问题说明及意见：</w:t>
      </w:r>
    </w:p>
    <w:p>
      <w:pPr>
        <w:spacing w:after="156" w:afterLines="50"/>
        <w:ind w:left="0" w:leftChars="-202" w:hanging="424" w:hangingChars="201"/>
        <w:rPr>
          <w:rFonts w:ascii="宋体" w:hAnsi="宋体"/>
          <w:b/>
          <w:color w:val="000000" w:themeColor="text1"/>
          <w:szCs w:val="21"/>
          <w:highlight w:val="none"/>
        </w:rPr>
      </w:pPr>
      <w:r>
        <w:rPr>
          <w:rFonts w:hint="eastAsia"/>
          <w:b/>
          <w:color w:val="000000" w:themeColor="text1"/>
          <w:szCs w:val="21"/>
          <w:highlight w:val="none"/>
        </w:rPr>
        <w:t>2. 验证结论</w:t>
      </w:r>
      <w:r>
        <w:rPr>
          <w:rFonts w:hint="eastAsia" w:ascii="宋体" w:hAnsi="宋体"/>
          <w:b/>
          <w:color w:val="000000" w:themeColor="text1"/>
          <w:szCs w:val="21"/>
          <w:highlight w:val="none"/>
        </w:rPr>
        <w:t>:</w:t>
      </w:r>
    </w:p>
    <w:p>
      <w:pPr>
        <w:ind w:firstLine="763" w:firstLineChars="400"/>
        <w:rPr>
          <w:rFonts w:hint="eastAsia"/>
          <w:b/>
          <w:color w:val="000000" w:themeColor="text1"/>
          <w:szCs w:val="21"/>
          <w:highlight w:val="none"/>
        </w:rPr>
      </w:pPr>
      <w:r>
        <w:rPr>
          <w:rFonts w:hint="eastAsia"/>
          <w:b/>
          <w:color w:val="000000" w:themeColor="text1"/>
          <w:spacing w:val="-10"/>
          <w:szCs w:val="21"/>
          <w:highlight w:val="none"/>
        </w:rPr>
        <w:sym w:font="Wingdings 2" w:char="0052"/>
      </w:r>
      <w:r>
        <w:rPr>
          <w:rFonts w:hint="eastAsia"/>
          <w:b/>
          <w:color w:val="000000" w:themeColor="text1"/>
          <w:szCs w:val="21"/>
          <w:highlight w:val="none"/>
        </w:rPr>
        <w:t>推荐注册□不推荐注册</w:t>
      </w:r>
      <w:r>
        <w:rPr>
          <w:rFonts w:hint="eastAsia"/>
          <w:b/>
          <w:color w:val="000000" w:themeColor="text1"/>
          <w:spacing w:val="-10"/>
          <w:szCs w:val="21"/>
          <w:highlight w:val="none"/>
        </w:rPr>
        <w:t>□推荐重新认证</w:t>
      </w:r>
      <w:r>
        <w:rPr>
          <w:rFonts w:hint="eastAsia"/>
          <w:b/>
          <w:color w:val="000000" w:themeColor="text1"/>
          <w:szCs w:val="21"/>
          <w:highlight w:val="none"/>
        </w:rPr>
        <w:t>注册（再认证填写）</w:t>
      </w:r>
    </w:p>
    <w:p>
      <w:pPr>
        <w:ind w:firstLine="843" w:firstLineChars="400"/>
        <w:rPr>
          <w:rFonts w:hint="eastAsia"/>
          <w:b/>
          <w:color w:val="000000" w:themeColor="text1"/>
          <w:szCs w:val="21"/>
          <w:highlight w:val="none"/>
        </w:rPr>
      </w:pPr>
    </w:p>
    <w:p>
      <w:pPr>
        <w:spacing w:before="312" w:beforeLines="100" w:after="156" w:afterLines="50"/>
        <w:rPr>
          <w:rFonts w:hint="eastAsia"/>
          <w:b/>
          <w:color w:val="000000" w:themeColor="text1"/>
          <w:szCs w:val="21"/>
          <w:highlight w:val="none"/>
        </w:rPr>
      </w:pPr>
      <w:r>
        <w:rPr>
          <w:highlight w:val="none"/>
        </w:rPr>
        <w:drawing>
          <wp:anchor distT="0" distB="0" distL="114300" distR="114300" simplePos="0" relativeHeight="251671552" behindDoc="1" locked="0" layoutInCell="1" allowOverlap="1">
            <wp:simplePos x="0" y="0"/>
            <wp:positionH relativeFrom="column">
              <wp:posOffset>804545</wp:posOffset>
            </wp:positionH>
            <wp:positionV relativeFrom="paragraph">
              <wp:posOffset>75565</wp:posOffset>
            </wp:positionV>
            <wp:extent cx="691515" cy="427990"/>
            <wp:effectExtent l="0" t="0" r="9525" b="13970"/>
            <wp:wrapNone/>
            <wp:docPr id="5" name="图片 4" descr="930e597befd0956713be19ef558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930e597befd0956713be19ef5580040"/>
                    <pic:cNvPicPr>
                      <a:picLocks noChangeAspect="1"/>
                    </pic:cNvPicPr>
                  </pic:nvPicPr>
                  <pic:blipFill>
                    <a:blip r:embed="rId6"/>
                    <a:stretch>
                      <a:fillRect/>
                    </a:stretch>
                  </pic:blipFill>
                  <pic:spPr>
                    <a:xfrm>
                      <a:off x="0" y="0"/>
                      <a:ext cx="691515" cy="427990"/>
                    </a:xfrm>
                    <a:prstGeom prst="rect">
                      <a:avLst/>
                    </a:prstGeom>
                    <a:noFill/>
                    <a:ln>
                      <a:noFill/>
                    </a:ln>
                  </pic:spPr>
                </pic:pic>
              </a:graphicData>
            </a:graphic>
          </wp:anchor>
        </w:drawing>
      </w:r>
      <w:r>
        <w:rPr>
          <w:rFonts w:hint="eastAsia"/>
          <w:b/>
          <w:color w:val="000000" w:themeColor="text1"/>
          <w:szCs w:val="21"/>
          <w:highlight w:val="none"/>
        </w:rPr>
        <w:t xml:space="preserve">组长签字:                   </w:t>
      </w:r>
    </w:p>
    <w:p>
      <w:pPr>
        <w:snapToGrid w:val="0"/>
        <w:spacing w:line="360" w:lineRule="auto"/>
        <w:ind w:firstLine="3080" w:firstLineChars="1461"/>
        <w:rPr>
          <w:b/>
          <w:color w:val="000000" w:themeColor="text1"/>
          <w:sz w:val="16"/>
          <w:szCs w:val="16"/>
          <w:highlight w:val="none"/>
        </w:rPr>
      </w:pPr>
      <w:r>
        <w:rPr>
          <w:rFonts w:hint="eastAsia"/>
          <w:b/>
          <w:color w:val="000000" w:themeColor="text1"/>
          <w:szCs w:val="21"/>
          <w:highlight w:val="none"/>
        </w:rPr>
        <w:t xml:space="preserve">            </w:t>
      </w:r>
      <w:r>
        <w:rPr>
          <w:rFonts w:hint="eastAsia"/>
          <w:b/>
          <w:color w:val="000000" w:themeColor="text1"/>
          <w:szCs w:val="21"/>
          <w:highlight w:val="none"/>
          <w:lang w:val="en-US" w:eastAsia="zh-CN"/>
        </w:rPr>
        <w:t xml:space="preserve">          </w:t>
      </w:r>
      <w:r>
        <w:rPr>
          <w:rFonts w:hint="eastAsia"/>
          <w:b/>
          <w:color w:val="000000" w:themeColor="text1"/>
          <w:szCs w:val="21"/>
          <w:highlight w:val="none"/>
        </w:rPr>
        <w:t xml:space="preserve">日期:  </w:t>
      </w:r>
      <w:r>
        <w:rPr>
          <w:rFonts w:hint="eastAsia"/>
          <w:color w:val="000000"/>
          <w:szCs w:val="21"/>
          <w:highlight w:val="none"/>
        </w:rPr>
        <w:t>2020年07月</w:t>
      </w:r>
      <w:r>
        <w:rPr>
          <w:rFonts w:hint="eastAsia"/>
          <w:color w:val="000000"/>
          <w:szCs w:val="21"/>
          <w:highlight w:val="none"/>
          <w:lang w:val="en-US" w:eastAsia="zh-CN"/>
        </w:rPr>
        <w:t>22</w:t>
      </w:r>
      <w:r>
        <w:rPr>
          <w:rFonts w:hint="eastAsia"/>
          <w:color w:val="000000"/>
          <w:szCs w:val="21"/>
          <w:highlight w:val="none"/>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E92DFF"/>
    <w:multiLevelType w:val="singleLevel"/>
    <w:tmpl w:val="89E92DFF"/>
    <w:lvl w:ilvl="0" w:tentative="0">
      <w:start w:val="2"/>
      <w:numFmt w:val="decimal"/>
      <w:lvlText w:val="%1."/>
      <w:lvlJc w:val="left"/>
      <w:pPr>
        <w:tabs>
          <w:tab w:val="left" w:pos="312"/>
        </w:tabs>
      </w:p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4">
    <w:nsid w:val="7824F1D4"/>
    <w:multiLevelType w:val="singleLevel"/>
    <w:tmpl w:val="7824F1D4"/>
    <w:lvl w:ilvl="0" w:tentative="0">
      <w:start w:val="2"/>
      <w:numFmt w:val="decimal"/>
      <w:suff w:val="nothing"/>
      <w:lvlText w:val="%1、"/>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005F61"/>
    <w:rsid w:val="0AC86332"/>
    <w:rsid w:val="10FA3F9D"/>
    <w:rsid w:val="1D420301"/>
    <w:rsid w:val="2FE41B05"/>
    <w:rsid w:val="3AD92E6E"/>
    <w:rsid w:val="530C08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2020-07-17T12:22:13Z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