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06"/>
        <w:gridCol w:w="835"/>
        <w:gridCol w:w="395"/>
        <w:gridCol w:w="1306"/>
        <w:gridCol w:w="567"/>
        <w:gridCol w:w="182"/>
        <w:gridCol w:w="1236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重庆大时代建筑设计有限公司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徐援援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023-86502461</w:t>
            </w:r>
            <w:bookmarkEnd w:id="6"/>
          </w:p>
        </w:tc>
        <w:tc>
          <w:tcPr>
            <w:tcW w:w="166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74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66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资质范围内的建筑工程设计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34.01.01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2020年07月12日 上午至2020年07月12日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王云林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15923587324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450" w:type="dxa"/>
            <w:gridSpan w:val="4"/>
            <w:vAlign w:val="center"/>
          </w:tcPr>
          <w:p/>
        </w:tc>
        <w:tc>
          <w:tcPr>
            <w:tcW w:w="2086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73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3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2020年07月1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6"/>
        <w:gridCol w:w="1826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(文平、王云林)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5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中午休息一小时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⑴ 通过对受审核方的管理、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eastAsia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lang w:eastAsia="zh-CN"/>
              </w:rPr>
              <w:t>设计</w:t>
            </w:r>
            <w:bookmarkStart w:id="14" w:name="_GoBack"/>
            <w:bookmarkEnd w:id="14"/>
            <w:r>
              <w:rPr>
                <w:rFonts w:hint="eastAsia"/>
              </w:rPr>
              <w:t>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5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FB7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2020-07-13T13:18:36Z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