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92240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绿色供应链</w:t>
      </w:r>
      <w:r>
        <w:rPr>
          <w:rFonts w:ascii="宋体" w:eastAsia="宋体" w:hAnsi="宋体" w:hint="eastAsia"/>
          <w:b/>
          <w:bCs/>
          <w:sz w:val="32"/>
          <w:szCs w:val="32"/>
        </w:rPr>
        <w:t>现场</w:t>
      </w:r>
      <w:r>
        <w:rPr>
          <w:rFonts w:ascii="宋体" w:eastAsia="宋体" w:hAnsi="宋体" w:hint="eastAsia"/>
          <w:b/>
          <w:bCs/>
          <w:sz w:val="32"/>
          <w:szCs w:val="32"/>
        </w:rPr>
        <w:t>审核记录</w:t>
      </w:r>
    </w:p>
    <w:p w:rsidR="00E92240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河北禄阔通信技术有限公司</w:t>
      </w:r>
    </w:p>
    <w:p w:rsidR="00E92240">
      <w:pPr>
        <w:spacing w:line="276" w:lineRule="auto"/>
        <w:ind w:firstLine="1050" w:firstLineChars="500"/>
        <w:rPr>
          <w:szCs w:val="21"/>
        </w:rPr>
      </w:pPr>
    </w:p>
    <w:p w:rsidR="00E92240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</w:p>
    <w:p w:rsidR="00E92240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E9224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张红侠</w:t>
      </w:r>
      <w:r>
        <w:rPr>
          <w:rFonts w:ascii="宋体" w:hAnsi="宋体" w:hint="eastAsia"/>
          <w:bCs/>
          <w:szCs w:val="21"/>
        </w:rPr>
        <w:t xml:space="preserve">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张红侠</w:t>
      </w:r>
      <w:r>
        <w:rPr>
          <w:rFonts w:ascii="宋体" w:hAnsi="宋体" w:hint="eastAsia"/>
          <w:bCs/>
          <w:szCs w:val="21"/>
        </w:rPr>
        <w:t xml:space="preserve">   </w:t>
      </w:r>
    </w:p>
    <w:p w:rsidR="00E92240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2026年03月17日上午至2026年03月17日下午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E92240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E92240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60731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单一场所；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148279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固定多场所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33249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临时多场所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677787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457620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996414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142207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479127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205756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868876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62081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88422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238295" name="图片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91135" cy="231775"/>
                  <wp:effectExtent l="0" t="0" r="12065" b="9525"/>
                  <wp:docPr id="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783498" name="图片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E92240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林刚</w:t>
            </w:r>
            <w:r>
              <w:rPr>
                <w:rFonts w:ascii="宋体" w:hAnsi="宋体" w:hint="eastAsia"/>
                <w:b/>
                <w:szCs w:val="21"/>
              </w:rPr>
              <w:t>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>张红侠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E92240">
      <w:pPr>
        <w:spacing w:line="480" w:lineRule="auto"/>
        <w:jc w:val="left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说明：《审核记录表》中，重点对下面《绩效检查评价表》中未涉及到的条款进行审核描述。</w:t>
      </w: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bookmarkStart w:id="4" w:name="_GoBack"/>
      <w:bookmarkEnd w:id="4"/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绿色供应链基本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项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检查表</w:t>
      </w:r>
    </w:p>
    <w:tbl>
      <w:tblPr>
        <w:tblStyle w:val="TableGrid"/>
        <w:tblW w:w="0" w:type="auto"/>
        <w:jc w:val="center"/>
        <w:tblLook w:val="04A0"/>
      </w:tblPr>
      <w:tblGrid>
        <w:gridCol w:w="3619"/>
        <w:gridCol w:w="1685"/>
        <w:gridCol w:w="4936"/>
        <w:gridCol w:w="4239"/>
      </w:tblGrid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61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内容</w:t>
            </w:r>
          </w:p>
        </w:tc>
        <w:tc>
          <w:tcPr>
            <w:tcW w:w="1685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类型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审核要求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审核结果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申请组织是否守法达标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年内应未受过质量、安全、环保方面的处罚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继续进行评价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年内受过环保处罚，不予受理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记录处罚内容：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是否建立绿色供应链管理的措施并有效实施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建有管理措施并有效实施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完成设定的目标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未建立管理措施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不予受理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是否建立并保持文件化的文件和资料的控制程序，对相关记录的保存期限应有文件规定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建立文件和资料控制程序，并保留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年以上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无文件化的控制程序，不予受理</w:t>
            </w: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jc w:val="center"/>
        <w:rPr>
          <w:rFonts w:ascii="宋体" w:eastAsia="宋体" w:hAnsi="宋体"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管理绩效和运行绩效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评价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表</w:t>
      </w: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审核员：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</w:t>
      </w:r>
    </w:p>
    <w:tbl>
      <w:tblPr>
        <w:tblStyle w:val="TableGrid"/>
        <w:tblW w:w="14111" w:type="dxa"/>
        <w:tblInd w:w="-431" w:type="dxa"/>
        <w:tblLook w:val="04A0"/>
      </w:tblPr>
      <w:tblGrid>
        <w:gridCol w:w="688"/>
        <w:gridCol w:w="1189"/>
        <w:gridCol w:w="1189"/>
        <w:gridCol w:w="817"/>
        <w:gridCol w:w="1586"/>
        <w:gridCol w:w="808"/>
        <w:gridCol w:w="3887"/>
        <w:gridCol w:w="3238"/>
        <w:gridCol w:w="709"/>
      </w:tblGrid>
      <w:tr>
        <w:tblPrEx>
          <w:tblW w:w="14111" w:type="dxa"/>
          <w:tblInd w:w="-431" w:type="dxa"/>
          <w:tblLook w:val="04A0"/>
        </w:tblPrEx>
        <w:trPr>
          <w:trHeight w:val="468"/>
          <w:tblHeader/>
        </w:trPr>
        <w:tc>
          <w:tcPr>
            <w:tcW w:w="68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分类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一级指标</w:t>
            </w:r>
          </w:p>
        </w:tc>
        <w:tc>
          <w:tcPr>
            <w:tcW w:w="81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权重</w:t>
            </w:r>
          </w:p>
        </w:tc>
        <w:tc>
          <w:tcPr>
            <w:tcW w:w="1586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对应条款及二级指标</w:t>
            </w:r>
          </w:p>
        </w:tc>
        <w:tc>
          <w:tcPr>
            <w:tcW w:w="80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分值</w:t>
            </w:r>
          </w:p>
        </w:tc>
        <w:tc>
          <w:tcPr>
            <w:tcW w:w="388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主要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检查内容要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点（可根据企业情况增加）</w:t>
            </w:r>
          </w:p>
        </w:tc>
        <w:tc>
          <w:tcPr>
            <w:tcW w:w="323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符合性说明</w:t>
            </w:r>
          </w:p>
        </w:tc>
        <w:tc>
          <w:tcPr>
            <w:tcW w:w="70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得分</w:t>
            </w: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1*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战略及目标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5.2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绿色发展规划、目标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X101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将绿色发展战略纳入企业规划，制定３年～５年供应链绿色提升目标，确定每一年的分目标，如：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 w:hint="eastAsia"/>
                <w:szCs w:val="21"/>
              </w:rPr>
              <w:t>绿色供应链方针或领导承诺</w:t>
            </w:r>
            <w:r>
              <w:rPr>
                <w:rFonts w:ascii="宋体" w:eastAsia="宋体" w:hAnsi="宋体"/>
                <w:szCs w:val="21"/>
              </w:rPr>
              <w:t>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●</w:t>
            </w:r>
            <w:r>
              <w:rPr>
                <w:rFonts w:ascii="宋体" w:eastAsia="宋体" w:hAnsi="宋体"/>
                <w:szCs w:val="21"/>
              </w:rPr>
              <w:t>绿色供应链提升目标（尽可能量化）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6.1.2.2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7.5</w:t>
            </w:r>
          </w:p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绿色供应链管理体系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X102</w:t>
            </w:r>
          </w:p>
          <w:p w:rsidR="00E92240">
            <w:pPr>
              <w:pStyle w:val="a"/>
              <w:rPr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建立绿色供应链管理体系（可与企业现有管理体系整合），建立统一、协调的管理程序文件（或标准），如：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●产品绿色设计；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●绿色采购；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●绿色生产；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●绿色物流；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●绿色回收及末端处置；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●绿色信息管理及披露等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5.3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</w:t>
            </w:r>
            <w:r>
              <w:rPr>
                <w:rFonts w:ascii="宋体" w:eastAsia="宋体" w:hAnsi="宋体"/>
                <w:szCs w:val="21"/>
              </w:rPr>
              <w:t>构、职责、资源Ｘ１０３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建立有效的组织机构（或对现有机构及资源进行整合），满足绿色供应链管理需要。提供必要的人力、财力、设备、信息及知识等资源，以保障机构的有效运行；明确绿色供应链管理相关部门、人员和职责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353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4</w:t>
            </w: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10.3</w:t>
            </w:r>
          </w:p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持续改进Ｘ１０４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持续改进绿色供应链管理体系，关注供应商和回收处理企业（包括产品和服务）的绿色持续改进，以满足绿色供应链管理持续改进需要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8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5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绿色设计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产品绿色设计Ｘ２０１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产品进行绿色设计或对现有产品进行绿色改进设计。提高产品绿色性（如资源消耗、环境排放、有害物质使用、回收利用性等）；产品满足相关方绿色性要求（来自标准、采购方或其他相关方）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工艺绿色设计</w:t>
            </w:r>
            <w:r>
              <w:rPr>
                <w:rFonts w:ascii="宋体" w:eastAsia="宋体" w:hAnsi="宋体"/>
                <w:szCs w:val="21"/>
              </w:rPr>
              <w:t>Ｘ２０２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工艺技术、流程及工艺设备进行绿色属性识别和核查，针对重点问题进行工艺</w:t>
            </w:r>
            <w:r>
              <w:rPr>
                <w:rFonts w:ascii="宋体" w:eastAsia="宋体" w:hAnsi="宋体"/>
                <w:szCs w:val="21"/>
              </w:rPr>
              <w:t>优化和改进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包装</w:t>
            </w:r>
            <w:r>
              <w:rPr>
                <w:rFonts w:ascii="宋体" w:eastAsia="宋体" w:hAnsi="宋体"/>
                <w:szCs w:val="21"/>
              </w:rPr>
              <w:t>绿色设计Ｘ</w:t>
            </w:r>
            <w:r>
              <w:rPr>
                <w:rFonts w:ascii="宋体" w:eastAsia="宋体" w:hAnsi="宋体" w:hint="eastAsia"/>
                <w:szCs w:val="21"/>
              </w:rPr>
              <w:t>203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对包装物进行减量化、可回收、可降解、无害化设计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重点管控物料清单Ｘ</w:t>
            </w:r>
            <w:r>
              <w:rPr>
                <w:rFonts w:ascii="宋体" w:eastAsia="宋体" w:hAnsi="宋体" w:hint="eastAsia"/>
                <w:szCs w:val="21"/>
              </w:rPr>
              <w:t>204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识别与核查产品及生命周期物料的绿色属性；明确重点管控物料清单及要求。满足法律法规、产品相关方及企业绿色制造总体目标要求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绿色采购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管理制度及标准Ｘ</w:t>
            </w:r>
            <w:r>
              <w:rPr>
                <w:rFonts w:ascii="宋体" w:eastAsia="宋体" w:hAnsi="宋体" w:hint="eastAsia"/>
                <w:szCs w:val="21"/>
              </w:rPr>
              <w:t>301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制定系统的绿色供应商选择原则及绿色供应商评估、监督、业绩评价管理程序，形成标准或管理制度文件对供应商进行风险评估，根据风险评估结果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绿色采购要</w:t>
            </w:r>
            <w:r>
              <w:rPr>
                <w:rFonts w:ascii="宋体" w:eastAsia="宋体" w:hAnsi="宋体" w:hint="eastAsia"/>
                <w:szCs w:val="21"/>
              </w:rPr>
              <w:t>求</w:t>
            </w:r>
            <w:r>
              <w:rPr>
                <w:rFonts w:ascii="宋体" w:eastAsia="宋体" w:hAnsi="宋体" w:hint="eastAsia"/>
                <w:szCs w:val="21"/>
              </w:rPr>
              <w:t>X302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明确产品／服务绿色采购要求，并有效落实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绿色供应商选择Ｘ</w:t>
            </w:r>
            <w:r>
              <w:rPr>
                <w:rFonts w:ascii="宋体" w:eastAsia="宋体" w:hAnsi="宋体" w:hint="eastAsia"/>
                <w:szCs w:val="21"/>
              </w:rPr>
              <w:t>303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制定绿色供应商准入条件，对新增供应商进行资格认证，对发生生产变更的供应商重新进行评估，定期对合格供应商进行抽查，以确保供应商符合准入条件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供应商风险评估Ｘ</w:t>
            </w:r>
            <w:r>
              <w:rPr>
                <w:rFonts w:ascii="宋体" w:eastAsia="宋体" w:hAnsi="宋体" w:hint="eastAsia"/>
                <w:szCs w:val="21"/>
              </w:rPr>
              <w:t>304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对供应商实施分类管理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对合格供应商定期审核监督，推动供应商持续改进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供应商审核</w:t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宋体" w:eastAsia="宋体" w:hAnsi="宋体" w:hint="eastAsia"/>
                <w:szCs w:val="21"/>
              </w:rPr>
              <w:t>X305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对供应商定期进行绿色绩效评价，如：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生产过程绿色化程度；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生产变更情况；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审核监督与改进；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异常事件与整改；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管理过程综合评价等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供应商绩效评</w:t>
            </w:r>
            <w:r>
              <w:rPr>
                <w:rFonts w:ascii="宋体" w:eastAsia="宋体" w:hAnsi="宋体" w:hint="eastAsia"/>
                <w:szCs w:val="21"/>
              </w:rPr>
              <w:t>X306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制定供应商管理应急预案，定期收集供应商合规性信息，检验、测试供应商的产品／服务的符合性，出现异常情况启动应急管理和响应程序，对异常情况进行有效应对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/>
                <w:szCs w:val="21"/>
              </w:rPr>
              <w:t>应急管理和响</w:t>
            </w:r>
            <w:r>
              <w:rPr>
                <w:rFonts w:ascii="宋体" w:eastAsia="宋体" w:hAnsi="宋体" w:hint="eastAsia"/>
                <w:szCs w:val="21"/>
              </w:rPr>
              <w:t>应</w:t>
            </w:r>
            <w:r>
              <w:rPr>
                <w:rFonts w:ascii="宋体" w:eastAsia="宋体" w:hAnsi="宋体" w:hint="eastAsia"/>
                <w:szCs w:val="21"/>
              </w:rPr>
              <w:t>X307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建立并保存绿色采购过程记录文件，确保采购管理过程的可追溯性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7.5</w:t>
            </w:r>
            <w:r>
              <w:rPr>
                <w:rFonts w:ascii="宋体" w:eastAsia="宋体" w:hAnsi="宋体"/>
                <w:szCs w:val="21"/>
              </w:rPr>
              <w:t>文件及信息管</w:t>
            </w:r>
            <w:r>
              <w:rPr>
                <w:rFonts w:ascii="宋体" w:eastAsia="宋体" w:hAnsi="宋体" w:hint="eastAsia"/>
                <w:szCs w:val="21"/>
              </w:rPr>
              <w:t>理</w:t>
            </w:r>
            <w:r>
              <w:rPr>
                <w:rFonts w:ascii="宋体" w:eastAsia="宋体" w:hAnsi="宋体" w:hint="eastAsia"/>
                <w:szCs w:val="21"/>
              </w:rPr>
              <w:t>X308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企业绿色采购要求及时传递给供应商，如必要，对供应商进行培训或相应指导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沟通与培训</w:t>
            </w:r>
            <w:r>
              <w:rPr>
                <w:rFonts w:ascii="宋体" w:eastAsia="宋体" w:hAnsi="宋体" w:hint="eastAsia"/>
                <w:szCs w:val="21"/>
              </w:rPr>
              <w:t>X309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44"/>
        </w:trPr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 w:hint="eastAsia"/>
                <w:szCs w:val="21"/>
              </w:rPr>
              <w:t>绿色生产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/>
                <w:szCs w:val="21"/>
              </w:rPr>
              <w:t>生产合规性</w:t>
            </w:r>
            <w:r>
              <w:rPr>
                <w:rFonts w:ascii="宋体" w:eastAsia="宋体" w:hAnsi="宋体" w:hint="eastAsia"/>
                <w:szCs w:val="21"/>
              </w:rPr>
              <w:t>X401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企业生产和经营活动符合国家和地方相关政策、法规和标准要求，包括节能减排和环保合规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重点管控物料管理</w:t>
            </w:r>
            <w:r>
              <w:rPr>
                <w:rFonts w:ascii="宋体" w:eastAsia="宋体" w:hAnsi="宋体" w:hint="eastAsia"/>
                <w:szCs w:val="21"/>
              </w:rPr>
              <w:t>X402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依据重点管控物料清单及要求，确定生产过程重点管控物料管理程序，并进行有效管理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污染</w:t>
            </w:r>
            <w:r>
              <w:rPr>
                <w:rFonts w:ascii="宋体" w:eastAsia="宋体" w:hAnsi="宋体"/>
                <w:szCs w:val="21"/>
              </w:rPr>
              <w:t>物排放Ｘ４０３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监测废气、废水、固体废弃物、温室气体排放以</w:t>
            </w:r>
            <w:r>
              <w:rPr>
                <w:rFonts w:ascii="宋体" w:eastAsia="宋体" w:hAnsi="宋体" w:hint="eastAsia"/>
                <w:szCs w:val="21"/>
              </w:rPr>
              <w:t>及噪声数据，并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满足国家和地方的标准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用能设备Ｘ４０４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不使用国家明令禁止的淘汰设备；使用节能机电推荐目录中的设备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用能和用水计量</w:t>
            </w:r>
            <w:r>
              <w:rPr>
                <w:rFonts w:ascii="宋体" w:eastAsia="宋体" w:hAnsi="宋体" w:hint="eastAsia"/>
                <w:szCs w:val="21"/>
              </w:rPr>
              <w:t>系统</w:t>
            </w:r>
            <w:r>
              <w:rPr>
                <w:rFonts w:ascii="宋体" w:eastAsia="宋体" w:hAnsi="宋体" w:hint="eastAsia"/>
                <w:szCs w:val="21"/>
              </w:rPr>
              <w:t>X405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建立和健全用能计量系统，监测和记录生产过程中的能源及水资源消耗；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定期进行分析，识别企业的节能减排潜力，制定节能减排的计划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</w:t>
            </w:r>
            <w:r>
              <w:rPr>
                <w:rFonts w:ascii="宋体" w:eastAsia="宋体" w:hAnsi="宋体" w:hint="eastAsia"/>
                <w:szCs w:val="21"/>
              </w:rPr>
              <w:t>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</w:t>
            </w:r>
            <w:r>
              <w:rPr>
                <w:rFonts w:ascii="宋体" w:eastAsia="宋体" w:hAnsi="宋体" w:hint="eastAsia"/>
                <w:szCs w:val="21"/>
              </w:rPr>
              <w:t>能耗Ｘ４０６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单位产品综合能耗符合相关国家、行业</w:t>
            </w:r>
            <w:r>
              <w:rPr>
                <w:rFonts w:ascii="宋体" w:eastAsia="宋体" w:hAnsi="宋体" w:hint="eastAsia"/>
                <w:szCs w:val="21"/>
              </w:rPr>
              <w:t>标准中的限额要求；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没有相关标准的，应达到行业平均水平。（装备、电子、电器等离散制造业可采用单位产值或单位工业增加值指标）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7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24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用水量控制Ｘ４０７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开展节水评价工作，且满足行业取水定额要求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（如果有）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 w:hint="eastAsia"/>
                <w:szCs w:val="21"/>
              </w:rPr>
              <w:t>绿色物流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管理制度Ｘ５０１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企业内部物流和外部（原材料供应商以及产品和回收产品的承运方）物流符合绿色物流要求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/>
                <w:szCs w:val="21"/>
              </w:rPr>
              <w:t>物流方案Ｘ５０２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对物流方案进行优化，满足产品运输有关绿色性要求（如果有），减少运输过程中能源消耗和污染物及噪声排放；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产品及包装物可回收的企业，建立逆向物料渠道和管理程序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产品运输、储存要求Ｘ５０３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根据产品特性，如需要，制定保证产品完整性及防止有害物质泄漏的运输、储存要求，如：运输过程特殊要求，仓储环境条件要求（如：温度、湿度、光照等要素）等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487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28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运输工具Ｘ５０４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定期检查运输工具安全状况，防止运输过程中物品丢失、散落及危险品泄漏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回收利用及末端处置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</w:t>
            </w:r>
            <w:r>
              <w:rPr>
                <w:rFonts w:ascii="宋体" w:eastAsia="宋体" w:hAnsi="宋体"/>
                <w:szCs w:val="21"/>
              </w:rPr>
              <w:t>收体系Ｘ６０１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识别产品／包装物回收利用的可能性，以及识别产品／包装物生产过程及运输、使用过程废品、废弃物或消耗品的回收利用的可能性；产品及包装物可回收利用的企业，建立生产者责任延伸制度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 w:hint="eastAsia"/>
                <w:szCs w:val="21"/>
              </w:rPr>
              <w:t>下</w:t>
            </w:r>
            <w:r>
              <w:rPr>
                <w:rFonts w:ascii="宋体" w:eastAsia="宋体" w:hAnsi="宋体"/>
                <w:szCs w:val="21"/>
              </w:rPr>
              <w:t>游企业协同Ｘ６０２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指导下游企业回收、拆解及再利用，建立产品及包装物回收拆解文件，并传递给下游相关方；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通过培训和现场辅导等方式提高零部件、原材料以及产品的回收率；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防止在回收利用过程中产生二次污染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无害化处理Ｘ６０３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对没有再利用价值的废弃物进行无害化处理，有害或危险废弃物应交给有相应资质的组织处理，并保留相关记录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</w:t>
            </w:r>
            <w:r>
              <w:rPr>
                <w:rFonts w:ascii="宋体" w:eastAsia="宋体" w:hAnsi="宋体"/>
                <w:szCs w:val="21"/>
              </w:rPr>
              <w:t>用绩效Ｘ６０４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定期统计产品／包装物回收利用指标，如：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产品可回收利用率；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实际回收利用率；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循环利用材料的使用率；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材料利用率；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废品率等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回收利用标识Ｘ６０５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对可回收利用的产品／材料及包装物进行标识；对再生利用品和再制造品按规定进行标志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34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绿色信息管理及披露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信息管理</w:t>
            </w:r>
            <w:r>
              <w:rPr>
                <w:rFonts w:ascii="宋体" w:eastAsia="宋体" w:hAnsi="宋体" w:hint="eastAsia"/>
                <w:szCs w:val="21"/>
              </w:rPr>
              <w:t>X701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对企业及供应商绿色信息进行规范管理，信息可查询、可追溯，并在供应链系统有效传递；建立绿色供应链管理信息平台（可与企业信息化系统融合），功能包括：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基础信息管理；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绿色设计系统；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绿色物料管控；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绿色生产信息管理；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绿色物流和末端处置；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绿色信息披露等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35*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绿色信息披露</w:t>
            </w:r>
            <w:r>
              <w:rPr>
                <w:rFonts w:ascii="宋体" w:eastAsia="宋体" w:hAnsi="宋体" w:hint="eastAsia"/>
                <w:szCs w:val="21"/>
              </w:rPr>
              <w:t>X702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披露企业绿色供应链相关信息，如：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绿色发展战略、目标及企业合规性声明；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政府及相关管理部门的要求定期披露企业的环境排放、能源等数据；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产品绿色属性及有害物质使用情况；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产品拆解、回收处理及循环利用信息；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绿色供应商信息等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  <w:lang w:val="x-none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val="x-none"/>
        </w:rPr>
        <w:t>说明：评价得分的主要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评审依据为：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RB/T 089-2022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《绿色供应链管理体系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要求及使用指南》和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GB/T 39257-2020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《绿色制造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制造企业绿色供应链管理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评价规范》。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计算公式：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/>
          <w:szCs w:val="21"/>
        </w:rPr>
        <w:t>…………………</w:t>
      </w:r>
      <w:r>
        <w:rPr>
          <w:rFonts w:ascii="宋体" w:eastAsia="宋体" w:hAnsi="宋体" w:hint="eastAsia"/>
          <w:szCs w:val="21"/>
        </w:rPr>
        <w:t>(1)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式中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 xml:space="preserve">R      </w:t>
      </w:r>
      <w:r>
        <w:rPr>
          <w:rFonts w:ascii="宋体" w:eastAsia="宋体" w:hAnsi="宋体" w:hint="eastAsia"/>
          <w:szCs w:val="21"/>
        </w:rPr>
        <w:t>——绿色供应链评价实际综合分值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 w:hint="eastAsia"/>
          <w:szCs w:val="21"/>
        </w:rPr>
        <w:t>——分别对应一级指标的权重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R1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R2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R3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R4</w:t>
      </w:r>
      <w:r>
        <w:rPr>
          <w:rFonts w:ascii="宋体" w:eastAsia="宋体" w:hAnsi="宋体" w:hint="eastAsia"/>
          <w:szCs w:val="21"/>
        </w:rPr>
        <w:t>——分别为所评价二级指标的得分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</w:p>
    <w:p w:rsidR="00E92240">
      <w:pPr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评级结论：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□不合格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□合格，级别为</w:t>
      </w:r>
      <w:r>
        <w:rPr>
          <w:rFonts w:ascii="宋体" w:eastAsia="宋体" w:hAnsi="宋体" w:hint="eastAsia"/>
          <w:szCs w:val="21"/>
          <w:u w:val="single"/>
        </w:rPr>
        <w:t>：</w:t>
      </w:r>
      <w:r>
        <w:rPr>
          <w:rFonts w:ascii="宋体" w:eastAsia="宋体" w:hAnsi="宋体" w:hint="eastAsia"/>
          <w:color w:val="0000FF"/>
          <w:szCs w:val="21"/>
          <w:u w:val="single"/>
        </w:rPr>
        <w:t xml:space="preserve"> </w:t>
      </w:r>
      <w:r>
        <w:rPr>
          <w:rFonts w:ascii="宋体" w:eastAsia="宋体" w:hAnsi="宋体" w:hint="eastAsia"/>
          <w:color w:val="0000FF"/>
          <w:szCs w:val="21"/>
          <w:u w:val="single"/>
        </w:rPr>
        <w:t>级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 xml:space="preserve">/ 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>星</w:t>
      </w:r>
      <w:r>
        <w:rPr>
          <w:rFonts w:ascii="宋体" w:eastAsia="宋体" w:hAnsi="宋体" w:hint="eastAsia"/>
          <w:b/>
          <w:bCs/>
          <w:szCs w:val="21"/>
          <w:u w:val="single"/>
        </w:rPr>
        <w:t>，</w:t>
      </w:r>
      <w:r>
        <w:rPr>
          <w:rFonts w:ascii="宋体" w:eastAsia="宋体" w:hAnsi="宋体" w:hint="eastAsia"/>
          <w:szCs w:val="21"/>
        </w:rPr>
        <w:t>可以颁发对应级别的绿色供应链认证证书</w:t>
      </w:r>
      <w:r>
        <w:rPr>
          <w:rFonts w:ascii="宋体" w:eastAsia="宋体" w:hAnsi="宋体" w:hint="eastAsia"/>
          <w:szCs w:val="21"/>
        </w:rPr>
        <w:t>。</w:t>
      </w:r>
    </w:p>
    <w:p w:rsidR="00E92240">
      <w:pPr>
        <w:rPr>
          <w:rFonts w:ascii="宋体" w:eastAsia="宋体" w:hAnsi="宋体"/>
          <w:szCs w:val="21"/>
        </w:rPr>
      </w:pP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评级说明如下：</w:t>
      </w:r>
    </w:p>
    <w:tbl>
      <w:tblPr>
        <w:tblStyle w:val="TableGrid"/>
        <w:tblW w:w="10631" w:type="dxa"/>
        <w:tblInd w:w="988" w:type="dxa"/>
        <w:tblLook w:val="04A0"/>
      </w:tblPr>
      <w:tblGrid>
        <w:gridCol w:w="2263"/>
        <w:gridCol w:w="2414"/>
        <w:gridCol w:w="5954"/>
      </w:tblGrid>
      <w:tr>
        <w:tblPrEx>
          <w:tblW w:w="10631" w:type="dxa"/>
          <w:tblInd w:w="988" w:type="dxa"/>
          <w:tblLook w:val="04A0"/>
        </w:tblPrEx>
        <w:tc>
          <w:tcPr>
            <w:tcW w:w="2263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评级结论</w:t>
            </w:r>
          </w:p>
        </w:tc>
        <w:tc>
          <w:tcPr>
            <w:tcW w:w="241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分级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条件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 w:val="restart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一级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五星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≥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四星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三星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四级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二星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五级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一星）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必选项指标缺失或不符合要求；</w:t>
            </w:r>
          </w:p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或必选项符合，但∑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</w:tr>
    </w:tbl>
    <w:p w:rsidR="00E92240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注：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、如果企业不需要星、级，可以不进行打分，仅按管理体系审核记录填写。</w:t>
      </w:r>
    </w:p>
    <w:p w:rsidR="00E92240">
      <w:pPr>
        <w:spacing w:line="360" w:lineRule="auto"/>
        <w:ind w:firstLine="210" w:firstLineChars="10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、如果需要星、级。则星、级可根据企业的需要可单独给一级或者五星，也可是它们的组合。推荐是给五星。请与企业确认后填写认证信息确认表。</w:t>
      </w:r>
    </w:p>
    <w:p w:rsidR="00E92240">
      <w:pPr>
        <w:jc w:val="right"/>
        <w:rPr>
          <w:rFonts w:ascii="宋体" w:eastAsia="宋体" w:hAnsi="宋体"/>
          <w:sz w:val="28"/>
          <w:szCs w:val="28"/>
          <w:u w:val="single"/>
        </w:rPr>
      </w:pPr>
    </w:p>
    <w:sectPr w:rsidSect="00E92240">
      <w:headerReference w:type="default" r:id="rId11"/>
      <w:pgSz w:w="16838" w:h="11906" w:orient="landscape"/>
      <w:pgMar w:top="1134" w:right="1135" w:bottom="993" w:left="1440" w:header="568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24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rPr>
        <w:rFonts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-113665</wp:posOffset>
          </wp:positionV>
          <wp:extent cx="480695" cy="482600"/>
          <wp:effectExtent l="0" t="0" r="0" b="0"/>
          <wp:wrapNone/>
          <wp:docPr id="63194616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7495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Ansi="Courier New"/>
        <w:sz w:val="18"/>
        <w:szCs w:val="18"/>
      </w:rPr>
      <w:t>北京国标联合认证有限公司</w:t>
    </w:r>
    <w:r>
      <w:rPr>
        <w:rFonts w:hAnsi="Courier New"/>
        <w:sz w:val="18"/>
        <w:szCs w:val="18"/>
      </w:rPr>
      <w:tab/>
    </w:r>
  </w:p>
  <w:p w:rsidR="00E9224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rPr>
        <w:sz w:val="18"/>
        <w:szCs w:val="18"/>
      </w:rPr>
    </w:pPr>
    <w:r>
      <w:rPr>
        <w:rFonts w:hAnsi="Courier New"/>
        <w:w w:val="90"/>
        <w:sz w:val="18"/>
        <w:szCs w:val="18"/>
      </w:rPr>
      <w:t>Beijing International Standard united Certification Co.,Ltd.</w:t>
    </w:r>
    <w:r w:rsidR="00807686">
      <w:rPr>
        <w:rFonts w:hAnsi="Courier New" w:hint="eastAsia"/>
        <w:w w:val="90"/>
        <w:sz w:val="18"/>
        <w:szCs w:val="18"/>
      </w:rPr>
      <w:t xml:space="preserve">                                                                                     </w:t>
    </w:r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0</w:t>
    </w:r>
    <w:r>
      <w:rPr>
        <w:rFonts w:ascii="宋体" w:eastAsia="宋体" w:hAnsi="宋体" w:hint="eastAsia"/>
        <w:szCs w:val="21"/>
      </w:rPr>
      <w:t>8</w:t>
    </w:r>
    <w:r w:rsidR="00807686">
      <w:rPr>
        <w:rFonts w:ascii="宋体" w:eastAsia="宋体" w:hAnsi="宋体" w:hint="eastAsia"/>
        <w:szCs w:val="21"/>
      </w:rPr>
      <w:t xml:space="preserve">  </w:t>
    </w:r>
    <w:r>
      <w:rPr>
        <w:rFonts w:ascii="宋体" w:eastAsia="宋体" w:hAnsi="宋体" w:hint="eastAsia"/>
        <w:szCs w:val="21"/>
      </w:rPr>
      <w:t>B</w:t>
    </w:r>
    <w:r>
      <w:rPr>
        <w:rFonts w:ascii="宋体" w:eastAsia="宋体" w:hAnsi="宋体" w:hint="eastAsia"/>
        <w:szCs w:val="21"/>
      </w:rPr>
      <w:t>/0</w:t>
    </w:r>
  </w:p>
  <w:p w:rsidR="00E922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33059E"/>
    <w:rsid w:val="00010CBF"/>
    <w:rsid w:val="00084733"/>
    <w:rsid w:val="00110726"/>
    <w:rsid w:val="0021055D"/>
    <w:rsid w:val="0023529B"/>
    <w:rsid w:val="002A59C2"/>
    <w:rsid w:val="002D3CF7"/>
    <w:rsid w:val="00302A2F"/>
    <w:rsid w:val="0033059E"/>
    <w:rsid w:val="00331418"/>
    <w:rsid w:val="004D68B7"/>
    <w:rsid w:val="00570491"/>
    <w:rsid w:val="0060101F"/>
    <w:rsid w:val="00772AEA"/>
    <w:rsid w:val="007E47BF"/>
    <w:rsid w:val="00807686"/>
    <w:rsid w:val="00831E4B"/>
    <w:rsid w:val="008601E2"/>
    <w:rsid w:val="00883DBE"/>
    <w:rsid w:val="00885A67"/>
    <w:rsid w:val="008C7E2E"/>
    <w:rsid w:val="009D7BA4"/>
    <w:rsid w:val="00AD5D9E"/>
    <w:rsid w:val="00AF4E22"/>
    <w:rsid w:val="00B075D2"/>
    <w:rsid w:val="00B214BA"/>
    <w:rsid w:val="00BA3960"/>
    <w:rsid w:val="00BC61AB"/>
    <w:rsid w:val="00BF7D47"/>
    <w:rsid w:val="00C41972"/>
    <w:rsid w:val="00C546C3"/>
    <w:rsid w:val="00C923AC"/>
    <w:rsid w:val="00D0036A"/>
    <w:rsid w:val="00D11E04"/>
    <w:rsid w:val="00D46565"/>
    <w:rsid w:val="00D67DB8"/>
    <w:rsid w:val="00D76824"/>
    <w:rsid w:val="00DD61B0"/>
    <w:rsid w:val="00E56D27"/>
    <w:rsid w:val="00E92240"/>
    <w:rsid w:val="00F80788"/>
    <w:rsid w:val="00F91C7A"/>
    <w:rsid w:val="66DB4F71"/>
    <w:rsid w:val="67E05739"/>
    <w:rsid w:val="6C601197"/>
    <w:rsid w:val="7B490C91"/>
    <w:rsid w:val="7D5207DB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922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92240"/>
    <w:pPr>
      <w:spacing w:before="25" w:after="25"/>
    </w:pPr>
    <w:rPr>
      <w:bCs/>
      <w:spacing w:val="10"/>
    </w:rPr>
  </w:style>
  <w:style w:type="paragraph" w:styleId="Footer">
    <w:name w:val="footer"/>
    <w:basedOn w:val="Normal"/>
    <w:link w:val="Char0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92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9224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92240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E92240"/>
    <w:pPr>
      <w:ind w:firstLine="420" w:firstLineChars="200"/>
    </w:pPr>
  </w:style>
  <w:style w:type="paragraph" w:styleId="BalloonText">
    <w:name w:val="Balloon Text"/>
    <w:basedOn w:val="Normal"/>
    <w:link w:val="Char1"/>
    <w:uiPriority w:val="99"/>
    <w:semiHidden/>
    <w:unhideWhenUsed/>
    <w:rsid w:val="00807686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8076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FFBAA-B909-4A76-AD2A-E17CE9A3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764</Words>
  <Characters>4355</Characters>
  <Application>Microsoft Office Word</Application>
  <DocSecurity>0</DocSecurity>
  <Lines>36</Lines>
  <Paragraphs>10</Paragraphs>
  <ScaleCrop>false</ScaleCrop>
  <Company>China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2024-09-11T08:34:00Z</dcterms:created>
  <dcterms:modified xsi:type="dcterms:W3CDTF">2025-11-05T09:19:00Z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16DE519E4CA34A419AD23E9B3D4E1C59_12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