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20379-2025-O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深圳市云中鹤科技股份有限公司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郭宣丽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91440300589152559L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深圳市云中鹤科技股份有限公司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深圳市南山区南山街道商华路2号阳光科创中心B座19楼1901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深圳市南山区南山街道商华路2号阳光科创中心B座19楼1901</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资质范围内电子商务管理服务所涉及场所的相关职业健康安全管理活动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深圳市云中鹤科技股份有限公司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深圳市南山区南山街道商华路2号阳光科创中心B座19楼1901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深圳市南山区南山街道商华路2号阳光科创中心B座19楼1901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资质范围内电子商务管理服务所涉及场所的相关职业健康安全管理活动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