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安徽顺佳达电力安装有限公司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bookmarkStart w:id="2" w:name="机构代码"/>
            <w:r>
              <w:rPr>
                <w:rFonts w:hint="eastAsia"/>
                <w:b/>
                <w:color w:val="000000" w:themeColor="text1"/>
                <w:sz w:val="22"/>
                <w:szCs w:val="22"/>
              </w:rPr>
              <w:t>913401006973996982</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ascii="宋体" w:hAnsi="宋体"/>
                <w:szCs w:val="21"/>
              </w:rPr>
              <w:t>承装（修、试）电力设施</w:t>
            </w:r>
            <w:r>
              <w:rPr>
                <w:rFonts w:hint="eastAsia" w:ascii="宋体" w:hAnsi="宋体"/>
                <w:szCs w:val="21"/>
                <w:lang w:val="en-US" w:eastAsia="zh-CN"/>
              </w:rPr>
              <w:t>许可证：4-4-00411-2012</w:t>
            </w: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bookmarkStart w:id="3" w:name="_GoBack"/>
            <w:bookmarkEnd w:id="3"/>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szCs w:val="21"/>
              </w:rPr>
              <w:drawing>
                <wp:anchor distT="0" distB="0" distL="114300" distR="114300" simplePos="0" relativeHeight="251662336" behindDoc="0" locked="0" layoutInCell="1" allowOverlap="1">
                  <wp:simplePos x="0" y="0"/>
                  <wp:positionH relativeFrom="column">
                    <wp:posOffset>4199255</wp:posOffset>
                  </wp:positionH>
                  <wp:positionV relativeFrom="paragraph">
                    <wp:posOffset>107315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szCs w:val="21"/>
              </w:rPr>
              <w:drawing>
                <wp:anchor distT="0" distB="0" distL="114300" distR="114300" simplePos="0" relativeHeight="251667456" behindDoc="0" locked="0" layoutInCell="1" allowOverlap="1">
                  <wp:simplePos x="0" y="0"/>
                  <wp:positionH relativeFrom="column">
                    <wp:posOffset>5319395</wp:posOffset>
                  </wp:positionH>
                  <wp:positionV relativeFrom="paragraph">
                    <wp:posOffset>104140</wp:posOffset>
                  </wp:positionV>
                  <wp:extent cx="514350" cy="371475"/>
                  <wp:effectExtent l="0" t="0" r="6350" b="9525"/>
                  <wp:wrapNone/>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2020.7.16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E03D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2020-07-16T02:24:12Z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