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bookmarkStart w:id="0" w:name="合同编号"/>
      <w:r>
        <w:rPr>
          <w:color w:val="000000"/>
        </w:rPr>
        <w:t>0318-2020-QEO</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合肥国庆电力安装有限公司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14</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午：至 2020年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15</w:t>
            </w:r>
            <w:r>
              <w:rPr>
                <w:rFonts w:hint="eastAsia" w:ascii="宋体"/>
                <w:b/>
                <w:color w:val="000000"/>
                <w:szCs w:val="21"/>
              </w:rPr>
              <w:t xml:space="preserve">日 下午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FE"/>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b/>
                <w:color w:val="000000"/>
                <w:sz w:val="20"/>
                <w:szCs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sz w:val="18"/>
                <w:szCs w:val="18"/>
              </w:rPr>
            </w:pPr>
            <w:r>
              <w:rPr>
                <w:sz w:val="18"/>
                <w:szCs w:val="18"/>
              </w:rPr>
              <w:t>Q:审核员</w:t>
            </w:r>
            <w:r>
              <w:rPr>
                <w:rFonts w:hint="eastAsia" w:ascii="Times New Roman" w:hAnsi="Times New Roman" w:eastAsia="宋体" w:cs="Times New Roman"/>
                <w:kern w:val="2"/>
                <w:sz w:val="18"/>
                <w:szCs w:val="18"/>
                <w:lang w:val="en-US" w:eastAsia="zh-CN" w:bidi="ar-SA"/>
              </w:rPr>
              <w:t>2019-N1QMS-1258213</w:t>
            </w:r>
          </w:p>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 w:val="20"/>
                <w:szCs w:val="20"/>
              </w:rPr>
              <w:t>岳树亮</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B</w:t>
            </w:r>
          </w:p>
        </w:tc>
        <w:tc>
          <w:tcPr>
            <w:tcW w:w="711" w:type="dxa"/>
            <w:vAlign w:val="center"/>
          </w:tcPr>
          <w:p>
            <w:pPr>
              <w:jc w:val="center"/>
              <w:rPr>
                <w:b/>
                <w:color w:val="000000"/>
                <w:szCs w:val="21"/>
              </w:rPr>
            </w:pPr>
            <w:r>
              <w:rPr>
                <w:sz w:val="21"/>
                <w:szCs w:val="21"/>
              </w:rPr>
              <w:t>男</w:t>
            </w:r>
          </w:p>
        </w:tc>
        <w:tc>
          <w:tcPr>
            <w:tcW w:w="3055" w:type="dxa"/>
            <w:vAlign w:val="center"/>
          </w:tcPr>
          <w:p>
            <w:pPr>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Q:审核员2020-N1QMS-1261927</w:t>
            </w:r>
          </w:p>
          <w:p>
            <w:pPr>
              <w:jc w:val="both"/>
              <w:rPr>
                <w:b/>
                <w:color w:val="000000"/>
                <w:szCs w:val="21"/>
              </w:rPr>
            </w:pPr>
            <w:r>
              <w:rPr>
                <w:rFonts w:hint="eastAsia" w:ascii="宋体" w:hAnsi="宋体" w:cs="宋体"/>
                <w:sz w:val="18"/>
                <w:szCs w:val="18"/>
                <w:lang w:val="en-US" w:eastAsia="zh-CN"/>
              </w:rPr>
              <w:t>O</w:t>
            </w:r>
            <w:r>
              <w:rPr>
                <w:rFonts w:hint="eastAsia" w:ascii="宋体" w:hAnsi="宋体" w:eastAsia="宋体" w:cs="宋体"/>
                <w:sz w:val="18"/>
                <w:szCs w:val="18"/>
              </w:rPr>
              <w:t>:审核员2020-N1OHSMS-1261927</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Cs w:val="21"/>
              </w:rPr>
            </w:pPr>
            <w:r>
              <w:rPr>
                <w:b/>
                <w:color w:val="000000"/>
                <w:sz w:val="20"/>
                <w:szCs w:val="20"/>
              </w:rPr>
              <w:t>韦春喜</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C</w:t>
            </w:r>
          </w:p>
        </w:tc>
        <w:tc>
          <w:tcPr>
            <w:tcW w:w="711" w:type="dxa"/>
            <w:vAlign w:val="center"/>
          </w:tcPr>
          <w:p>
            <w:pPr>
              <w:jc w:val="center"/>
              <w:rPr>
                <w:b/>
                <w:color w:val="000000"/>
                <w:szCs w:val="21"/>
              </w:rPr>
            </w:pPr>
            <w:r>
              <w:rPr>
                <w:sz w:val="21"/>
                <w:szCs w:val="21"/>
              </w:rPr>
              <w:t>女</w:t>
            </w:r>
          </w:p>
        </w:tc>
        <w:tc>
          <w:tcPr>
            <w:tcW w:w="3055" w:type="dxa"/>
            <w:vAlign w:val="center"/>
          </w:tcPr>
          <w:p>
            <w:pPr>
              <w:jc w:val="left"/>
              <w:rPr>
                <w:sz w:val="18"/>
                <w:szCs w:val="18"/>
              </w:rPr>
            </w:pPr>
            <w:r>
              <w:rPr>
                <w:sz w:val="18"/>
                <w:szCs w:val="18"/>
              </w:rPr>
              <w:t>Q:实习审核员</w:t>
            </w:r>
            <w:r>
              <w:rPr>
                <w:rFonts w:hint="eastAsia"/>
                <w:sz w:val="18"/>
                <w:szCs w:val="18"/>
              </w:rPr>
              <w:t>2020-N0QMS-1264075</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Cs w:val="21"/>
              </w:rPr>
            </w:pPr>
            <w:r>
              <w:rPr>
                <w:b/>
                <w:color w:val="000000"/>
                <w:sz w:val="20"/>
                <w:szCs w:val="20"/>
              </w:rPr>
              <w:t>刘梦晗</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D</w:t>
            </w:r>
          </w:p>
        </w:tc>
        <w:tc>
          <w:tcPr>
            <w:tcW w:w="711" w:type="dxa"/>
            <w:vAlign w:val="center"/>
          </w:tcPr>
          <w:p>
            <w:pPr>
              <w:jc w:val="center"/>
              <w:rPr>
                <w:b/>
                <w:color w:val="000000"/>
                <w:szCs w:val="21"/>
              </w:rPr>
            </w:pPr>
            <w:r>
              <w:rPr>
                <w:sz w:val="21"/>
                <w:szCs w:val="21"/>
              </w:rPr>
              <w:t>女</w:t>
            </w:r>
          </w:p>
        </w:tc>
        <w:tc>
          <w:tcPr>
            <w:tcW w:w="3055" w:type="dxa"/>
            <w:vAlign w:val="center"/>
          </w:tcPr>
          <w:p>
            <w:pPr>
              <w:jc w:val="left"/>
              <w:rPr>
                <w:sz w:val="18"/>
                <w:szCs w:val="18"/>
              </w:rPr>
            </w:pPr>
            <w:r>
              <w:rPr>
                <w:sz w:val="18"/>
                <w:szCs w:val="18"/>
              </w:rPr>
              <w:t>Q:实习审核员</w:t>
            </w:r>
            <w:r>
              <w:rPr>
                <w:rFonts w:hint="eastAsia"/>
                <w:sz w:val="18"/>
                <w:szCs w:val="18"/>
              </w:rPr>
              <w:t>2020-N0QMS-1258710</w:t>
            </w:r>
          </w:p>
        </w:tc>
        <w:tc>
          <w:tcPr>
            <w:tcW w:w="2994" w:type="dxa"/>
            <w:vAlign w:val="center"/>
          </w:tcPr>
          <w:p>
            <w:pPr>
              <w:spacing w:line="240" w:lineRule="exact"/>
              <w:jc w:val="lef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Cs w:val="21"/>
              </w:rPr>
            </w:pPr>
            <w:r>
              <w:rPr>
                <w:b/>
                <w:color w:val="000000"/>
                <w:sz w:val="20"/>
                <w:szCs w:val="20"/>
              </w:rPr>
              <w:t>陈阵南</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E</w:t>
            </w:r>
          </w:p>
        </w:tc>
        <w:tc>
          <w:tcPr>
            <w:tcW w:w="711" w:type="dxa"/>
            <w:vAlign w:val="center"/>
          </w:tcPr>
          <w:p>
            <w:pPr>
              <w:jc w:val="center"/>
              <w:rPr>
                <w:b/>
                <w:color w:val="000000"/>
                <w:szCs w:val="21"/>
              </w:rPr>
            </w:pPr>
            <w:r>
              <w:rPr>
                <w:sz w:val="21"/>
                <w:szCs w:val="21"/>
              </w:rPr>
              <w:t>女</w:t>
            </w:r>
          </w:p>
        </w:tc>
        <w:tc>
          <w:tcPr>
            <w:tcW w:w="3055" w:type="dxa"/>
            <w:vAlign w:val="center"/>
          </w:tcPr>
          <w:p>
            <w:pPr>
              <w:jc w:val="left"/>
              <w:rPr>
                <w:sz w:val="18"/>
                <w:szCs w:val="18"/>
              </w:rPr>
            </w:pPr>
            <w:r>
              <w:rPr>
                <w:sz w:val="18"/>
                <w:szCs w:val="18"/>
              </w:rPr>
              <w:t>Q:专家</w:t>
            </w:r>
          </w:p>
          <w:p>
            <w:pPr>
              <w:jc w:val="left"/>
              <w:rPr>
                <w:sz w:val="18"/>
                <w:szCs w:val="18"/>
              </w:rPr>
            </w:pPr>
            <w:r>
              <w:rPr>
                <w:sz w:val="18"/>
                <w:szCs w:val="18"/>
              </w:rPr>
              <w:t>E:专家</w:t>
            </w:r>
          </w:p>
          <w:p>
            <w:pPr>
              <w:jc w:val="left"/>
              <w:rPr>
                <w:sz w:val="18"/>
                <w:szCs w:val="18"/>
              </w:rPr>
            </w:pPr>
            <w:r>
              <w:rPr>
                <w:sz w:val="18"/>
                <w:szCs w:val="18"/>
              </w:rPr>
              <w:t>O:专家</w:t>
            </w:r>
          </w:p>
        </w:tc>
        <w:tc>
          <w:tcPr>
            <w:tcW w:w="2994" w:type="dxa"/>
            <w:vAlign w:val="center"/>
          </w:tcPr>
          <w:p>
            <w:pPr>
              <w:spacing w:line="240" w:lineRule="exact"/>
              <w:jc w:val="center"/>
              <w:rPr>
                <w:b/>
                <w:color w:val="000000"/>
                <w:sz w:val="20"/>
                <w:szCs w:val="20"/>
              </w:rPr>
            </w:pPr>
            <w:r>
              <w:rPr>
                <w:b/>
                <w:color w:val="000000"/>
                <w:sz w:val="20"/>
                <w:szCs w:val="20"/>
              </w:rPr>
              <w:t>Q:28.04.02</w:t>
            </w:r>
          </w:p>
          <w:p>
            <w:pPr>
              <w:spacing w:line="240" w:lineRule="exact"/>
              <w:jc w:val="center"/>
              <w:rPr>
                <w:b/>
                <w:color w:val="000000"/>
                <w:sz w:val="20"/>
                <w:szCs w:val="20"/>
              </w:rPr>
            </w:pPr>
            <w:r>
              <w:rPr>
                <w:b/>
                <w:color w:val="000000"/>
                <w:sz w:val="20"/>
                <w:szCs w:val="20"/>
              </w:rPr>
              <w:t>E:28.04.02</w:t>
            </w:r>
          </w:p>
          <w:p>
            <w:pPr>
              <w:spacing w:line="240" w:lineRule="exact"/>
              <w:jc w:val="center"/>
              <w:rPr>
                <w:b/>
                <w:color w:val="000000"/>
                <w:szCs w:val="21"/>
              </w:rPr>
            </w:pPr>
            <w:r>
              <w:rPr>
                <w:b/>
                <w:color w:val="000000"/>
                <w:sz w:val="20"/>
                <w:szCs w:val="20"/>
              </w:rP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合肥国庆电力安装有限公司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rPr>
                <w:rFonts w:ascii="宋体"/>
                <w:b/>
                <w:color w:val="000000"/>
                <w:sz w:val="20"/>
                <w:szCs w:val="20"/>
              </w:rPr>
            </w:pPr>
            <w:bookmarkStart w:id="4" w:name="注册地址"/>
            <w:r>
              <w:rPr>
                <w:rFonts w:ascii="宋体"/>
                <w:b/>
                <w:color w:val="000000"/>
                <w:sz w:val="20"/>
                <w:szCs w:val="20"/>
              </w:rPr>
              <w:t>安徽省合肥市肥西县上派镇金寨南路与站前路交口名邦西城国际1幢414号</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5" w:name="注册邮编"/>
            <w:r>
              <w:rPr>
                <w:rFonts w:ascii="宋体"/>
                <w:b/>
                <w:color w:val="000000"/>
                <w:sz w:val="20"/>
                <w:szCs w:val="20"/>
              </w:rPr>
              <w:t>231200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rPr>
                <w:rFonts w:ascii="宋体"/>
                <w:b/>
                <w:color w:val="000000"/>
                <w:sz w:val="20"/>
                <w:szCs w:val="20"/>
              </w:rPr>
            </w:pPr>
            <w:bookmarkStart w:id="6" w:name="经营地址"/>
            <w:bookmarkEnd w:id="6"/>
            <w:r>
              <w:rPr>
                <w:rFonts w:ascii="宋体"/>
                <w:b/>
                <w:color w:val="000000"/>
                <w:sz w:val="20"/>
                <w:szCs w:val="20"/>
              </w:rPr>
              <w:t>安徽省合肥市肥西县上派镇金寨南路与站前路交口名邦西城国际1幢414号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经营邮编"/>
            <w:bookmarkEnd w:id="7"/>
            <w:r>
              <w:rPr>
                <w:rFonts w:ascii="宋体"/>
                <w:b/>
                <w:color w:val="000000"/>
                <w:sz w:val="20"/>
                <w:szCs w:val="20"/>
              </w:rPr>
              <w:t>231200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8" w:name="联系人Add1"/>
            <w:r>
              <w:rPr>
                <w:rFonts w:ascii="宋体"/>
                <w:b/>
                <w:color w:val="000000"/>
                <w:sz w:val="20"/>
                <w:szCs w:val="20"/>
              </w:rPr>
              <w:t>倪娟</w:t>
            </w:r>
            <w:bookmarkEnd w:id="8"/>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9" w:name="联系人电话Add1"/>
            <w:r>
              <w:rPr>
                <w:rFonts w:ascii="宋体"/>
                <w:b/>
                <w:color w:val="000000"/>
                <w:sz w:val="20"/>
                <w:szCs w:val="20"/>
              </w:rPr>
              <w:t>15256563487</w:t>
            </w:r>
            <w:bookmarkEnd w:id="9"/>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1" w:name="法人"/>
            <w:r>
              <w:rPr>
                <w:rFonts w:ascii="宋体"/>
                <w:b/>
                <w:color w:val="000000"/>
                <w:sz w:val="20"/>
                <w:szCs w:val="20"/>
              </w:rPr>
              <w:t>张正霞</w:t>
            </w:r>
            <w:bookmarkEnd w:id="11"/>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ascii="宋体"/>
                <w:b/>
                <w:color w:val="000000"/>
                <w:sz w:val="20"/>
                <w:szCs w:val="20"/>
              </w:rPr>
              <w:t>倪娟</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2" w:name="联系人邮箱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3" w:name="审核范围"/>
            <w:r>
              <w:rPr>
                <w:rFonts w:ascii="宋体" w:hAnsi="宋体"/>
                <w:b/>
                <w:color w:val="000000"/>
                <w:sz w:val="20"/>
                <w:szCs w:val="20"/>
              </w:rPr>
              <w:t>Q：许可范围内电力设施的承装（修、试）</w:t>
            </w:r>
          </w:p>
          <w:p>
            <w:pPr>
              <w:spacing w:line="400" w:lineRule="exact"/>
              <w:rPr>
                <w:rFonts w:ascii="宋体" w:hAnsi="宋体"/>
                <w:b/>
                <w:color w:val="000000"/>
                <w:sz w:val="20"/>
                <w:szCs w:val="20"/>
              </w:rPr>
            </w:pPr>
            <w:r>
              <w:rPr>
                <w:rFonts w:ascii="宋体" w:hAnsi="宋体"/>
                <w:b/>
                <w:color w:val="000000"/>
                <w:sz w:val="20"/>
                <w:szCs w:val="20"/>
              </w:rPr>
              <w:t>E：许可范围内电力设施的承装（修、试）及相关环境管理活动</w:t>
            </w:r>
          </w:p>
          <w:p>
            <w:pPr>
              <w:spacing w:line="400" w:lineRule="exact"/>
              <w:rPr>
                <w:rFonts w:ascii="宋体" w:hAnsi="宋体"/>
                <w:b/>
                <w:color w:val="000000"/>
                <w:sz w:val="20"/>
                <w:szCs w:val="20"/>
              </w:rPr>
            </w:pPr>
            <w:r>
              <w:rPr>
                <w:rFonts w:ascii="宋体" w:hAnsi="宋体"/>
                <w:b/>
                <w:color w:val="000000"/>
                <w:sz w:val="20"/>
                <w:szCs w:val="20"/>
              </w:rPr>
              <w:t>O：许可范围内电力设施的承装（修、试）及相关职业健康安全管理活动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4" w:name="专业代码"/>
            <w:r>
              <w:rPr>
                <w:rFonts w:ascii="宋体"/>
                <w:b/>
                <w:color w:val="000000"/>
                <w:sz w:val="20"/>
                <w:szCs w:val="20"/>
              </w:rPr>
              <w:t>Q：28.04.02</w:t>
            </w:r>
          </w:p>
          <w:p>
            <w:pPr>
              <w:spacing w:line="280" w:lineRule="exact"/>
              <w:rPr>
                <w:rFonts w:ascii="宋体"/>
                <w:b/>
                <w:color w:val="000000"/>
                <w:sz w:val="20"/>
                <w:szCs w:val="20"/>
              </w:rPr>
            </w:pPr>
            <w:r>
              <w:rPr>
                <w:rFonts w:ascii="宋体"/>
                <w:b/>
                <w:color w:val="000000"/>
                <w:sz w:val="20"/>
                <w:szCs w:val="20"/>
              </w:rPr>
              <w:t>E：28.04.02</w:t>
            </w:r>
          </w:p>
          <w:p>
            <w:pPr>
              <w:spacing w:line="280" w:lineRule="exact"/>
              <w:rPr>
                <w:rFonts w:ascii="宋体"/>
                <w:b/>
                <w:color w:val="000000"/>
                <w:sz w:val="20"/>
                <w:szCs w:val="20"/>
              </w:rPr>
            </w:pPr>
            <w:r>
              <w:rPr>
                <w:rFonts w:ascii="宋体"/>
                <w:b/>
                <w:color w:val="000000"/>
                <w:sz w:val="20"/>
                <w:szCs w:val="20"/>
              </w:rPr>
              <w:t>O：28.04.02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2020年6月15日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安装调试</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隐秘工程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auto"/>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0" w:firstLineChars="100"/>
        <w:rPr>
          <w:rFonts w:ascii="宋体" w:hAnsi="宋体"/>
          <w:b/>
          <w:color w:val="000000"/>
          <w:szCs w:val="21"/>
          <w:highlight w:val="cyan"/>
        </w:rPr>
      </w:pPr>
      <w:r>
        <w:rPr>
          <w:rFonts w:hint="default" w:eastAsia="宋体"/>
          <w:sz w:val="21"/>
          <w:szCs w:val="21"/>
          <w:lang w:val="en-US" w:eastAsia="zh-CN"/>
        </w:rPr>
        <w:drawing>
          <wp:anchor distT="0" distB="0" distL="114300" distR="114300" simplePos="0" relativeHeight="251738112" behindDoc="0" locked="0" layoutInCell="1" allowOverlap="1">
            <wp:simplePos x="0" y="0"/>
            <wp:positionH relativeFrom="column">
              <wp:posOffset>4959985</wp:posOffset>
            </wp:positionH>
            <wp:positionV relativeFrom="paragraph">
              <wp:posOffset>301625</wp:posOffset>
            </wp:positionV>
            <wp:extent cx="912495" cy="513080"/>
            <wp:effectExtent l="0" t="0" r="1905" b="7620"/>
            <wp:wrapNone/>
            <wp:docPr id="6"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韦春喜"/>
                    <pic:cNvPicPr>
                      <a:picLocks noChangeAspect="1"/>
                    </pic:cNvPicPr>
                  </pic:nvPicPr>
                  <pic:blipFill>
                    <a:blip r:embed="rId7"/>
                    <a:stretch>
                      <a:fillRect/>
                    </a:stretch>
                  </pic:blipFill>
                  <pic:spPr>
                    <a:xfrm>
                      <a:off x="0" y="0"/>
                      <a:ext cx="912495" cy="513080"/>
                    </a:xfrm>
                    <a:prstGeom prst="rect">
                      <a:avLst/>
                    </a:prstGeom>
                    <a:noFill/>
                    <a:ln>
                      <a:noFill/>
                    </a:ln>
                  </pic:spPr>
                </pic:pic>
              </a:graphicData>
            </a:graphic>
          </wp:anchor>
        </w:drawing>
      </w: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drawing>
          <wp:anchor distT="0" distB="0" distL="114300" distR="114300" simplePos="0" relativeHeight="251743232" behindDoc="0" locked="0" layoutInCell="1" allowOverlap="1">
            <wp:simplePos x="0" y="0"/>
            <wp:positionH relativeFrom="column">
              <wp:posOffset>3554095</wp:posOffset>
            </wp:positionH>
            <wp:positionV relativeFrom="paragraph">
              <wp:posOffset>162560</wp:posOffset>
            </wp:positionV>
            <wp:extent cx="1011555" cy="574675"/>
            <wp:effectExtent l="0" t="0" r="4445" b="952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1011555" cy="574675"/>
                    </a:xfrm>
                    <a:prstGeom prst="rect">
                      <a:avLst/>
                    </a:prstGeom>
                    <a:noFill/>
                    <a:ln>
                      <a:noFill/>
                    </a:ln>
                  </pic:spPr>
                </pic:pic>
              </a:graphicData>
            </a:graphic>
          </wp:anchor>
        </w:drawing>
      </w:r>
      <w:r>
        <w:drawing>
          <wp:anchor distT="0" distB="0" distL="114300" distR="114300" simplePos="0" relativeHeight="251735040" behindDoc="0" locked="0" layoutInCell="1" allowOverlap="1">
            <wp:simplePos x="0" y="0"/>
            <wp:positionH relativeFrom="column">
              <wp:posOffset>5302885</wp:posOffset>
            </wp:positionH>
            <wp:positionV relativeFrom="paragraph">
              <wp:posOffset>149225</wp:posOffset>
            </wp:positionV>
            <wp:extent cx="756285" cy="323850"/>
            <wp:effectExtent l="10160" t="26035" r="20955" b="31115"/>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0"/>
                    <a:srcRect t="19048"/>
                    <a:stretch>
                      <a:fillRect/>
                    </a:stretch>
                  </pic:blipFill>
                  <pic:spPr>
                    <a:xfrm rot="21360000">
                      <a:off x="0" y="0"/>
                      <a:ext cx="756285" cy="32385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7</w:t>
      </w:r>
      <w:r>
        <w:rPr>
          <w:rFonts w:hint="eastAsia" w:ascii="宋体" w:hAnsi="宋体"/>
          <w:b/>
          <w:color w:val="000000"/>
          <w:szCs w:val="21"/>
        </w:rPr>
        <w:t>月</w:t>
      </w:r>
      <w:r>
        <w:rPr>
          <w:rFonts w:hint="eastAsia" w:ascii="宋体" w:hAnsi="宋体"/>
          <w:b/>
          <w:color w:val="000000"/>
          <w:szCs w:val="21"/>
          <w:lang w:val="en-US" w:eastAsia="zh-CN"/>
        </w:rPr>
        <w:t>14</w:t>
      </w:r>
      <w:bookmarkStart w:id="15" w:name="_GoBack"/>
      <w:bookmarkEnd w:id="15"/>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eastAsia="宋体"/>
          <w:sz w:val="21"/>
          <w:szCs w:val="21"/>
          <w:lang w:eastAsia="zh-CN"/>
        </w:rPr>
        <w:drawing>
          <wp:anchor distT="0" distB="0" distL="114300" distR="114300" simplePos="0" relativeHeight="251747328" behindDoc="0" locked="0" layoutInCell="1" allowOverlap="1">
            <wp:simplePos x="0" y="0"/>
            <wp:positionH relativeFrom="column">
              <wp:posOffset>4874895</wp:posOffset>
            </wp:positionH>
            <wp:positionV relativeFrom="paragraph">
              <wp:posOffset>291465</wp:posOffset>
            </wp:positionV>
            <wp:extent cx="1069340" cy="400050"/>
            <wp:effectExtent l="0" t="0" r="10160" b="6350"/>
            <wp:wrapSquare wrapText="bothSides"/>
            <wp:docPr id="8" name="图片 4"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561f519f816a3f6fab76d7b1a65b1d"/>
                    <pic:cNvPicPr>
                      <a:picLocks noChangeAspect="1"/>
                    </pic:cNvPicPr>
                  </pic:nvPicPr>
                  <pic:blipFill>
                    <a:blip r:embed="rId11"/>
                    <a:stretch>
                      <a:fillRect/>
                    </a:stretch>
                  </pic:blipFill>
                  <pic:spPr>
                    <a:xfrm>
                      <a:off x="0" y="0"/>
                      <a:ext cx="1069340" cy="400050"/>
                    </a:xfrm>
                    <a:prstGeom prst="rect">
                      <a:avLst/>
                    </a:prstGeom>
                    <a:noFill/>
                    <a:ln>
                      <a:noFill/>
                    </a:ln>
                  </pic:spPr>
                </pic:pic>
              </a:graphicData>
            </a:graphic>
          </wp:anchor>
        </w:drawing>
      </w: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796912"/>
    <w:rsid w:val="095D24A8"/>
    <w:rsid w:val="09B4415B"/>
    <w:rsid w:val="0B695358"/>
    <w:rsid w:val="0B6F736E"/>
    <w:rsid w:val="0C857290"/>
    <w:rsid w:val="0CA6239B"/>
    <w:rsid w:val="0D672C06"/>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2</TotalTime>
  <ScaleCrop>false</ScaleCrop>
  <LinksUpToDate>false</LinksUpToDate>
  <CharactersWithSpaces>6573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2020-07-19T03:33:10Z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