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安庆市悦发管业有限公司</w:t>
      </w:r>
    </w:p>
    <w:p>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00</w:t>
      </w:r>
      <w:r>
        <w:rPr>
          <w:rFonts w:hint="eastAsia" w:ascii="Times New Roman" w:hAnsi="Times New Roman" w:cs="Times New Roman"/>
          <w:sz w:val="32"/>
          <w:u w:val="single"/>
          <w:lang w:val="en-US" w:eastAsia="zh-CN"/>
        </w:rPr>
        <w:t>93</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8</w:t>
      </w:r>
      <w:r>
        <w:rPr>
          <w:rFonts w:ascii="Times New Roman" w:hAnsi="Times New Roman" w:cs="Times New Roman"/>
          <w:sz w:val="32"/>
          <w:u w:val="single"/>
        </w:rPr>
        <w:t>-2020</w:t>
      </w:r>
      <w:bookmarkEnd w:id="1"/>
    </w:p>
    <w:p>
      <w:pPr>
        <w:spacing w:line="360" w:lineRule="auto"/>
        <w:jc w:val="left"/>
        <w:rPr>
          <w:rFonts w:ascii="Times New Roman" w:hAnsi="Times New Roman" w:cs="Times New Roman"/>
          <w:sz w:val="32"/>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093</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8</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3029"/>
        <w:gridCol w:w="184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安庆市悦发管业有限公司</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Cs w:val="21"/>
                <w:lang w:val="en-US" w:eastAsia="zh-CN"/>
              </w:rPr>
            </w:pPr>
            <w:r>
              <w:rPr>
                <w:rFonts w:hint="eastAsia" w:ascii="宋体" w:eastAsia="宋体" w:cs="宋体"/>
                <w:kern w:val="0"/>
                <w:szCs w:val="21"/>
                <w:lang w:val="en-US" w:eastAsia="zh-CN"/>
              </w:rPr>
              <w:t>张鹤桥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认证证书编号</w:t>
            </w:r>
          </w:p>
        </w:tc>
        <w:tc>
          <w:tcPr>
            <w:tcW w:w="3029" w:type="dxa"/>
            <w:noWrap w:val="0"/>
            <w:vAlign w:val="top"/>
          </w:tcPr>
          <w:p>
            <w:pPr>
              <w:rPr>
                <w:rFonts w:hint="default" w:ascii="宋体" w:eastAsiaTheme="minorEastAsia"/>
                <w:lang w:val="en-US" w:eastAsia="zh-CN"/>
              </w:rPr>
            </w:pPr>
            <w:r>
              <w:rPr>
                <w:rFonts w:ascii="宋体" w:hAnsi="宋体"/>
              </w:rPr>
              <w:t>ISC-201</w:t>
            </w:r>
            <w:r>
              <w:rPr>
                <w:rFonts w:hint="eastAsia" w:ascii="宋体" w:hAnsi="宋体"/>
                <w:lang w:val="en-US" w:eastAsia="zh-CN"/>
              </w:rPr>
              <w:t>8</w:t>
            </w:r>
            <w:r>
              <w:rPr>
                <w:rFonts w:ascii="宋体" w:hAnsi="宋体"/>
              </w:rPr>
              <w:t>-0</w:t>
            </w:r>
            <w:r>
              <w:rPr>
                <w:rFonts w:hint="eastAsia" w:ascii="宋体" w:hAnsi="宋体"/>
                <w:lang w:val="en-US" w:eastAsia="zh-CN"/>
              </w:rPr>
              <w:t>296</w:t>
            </w:r>
          </w:p>
        </w:tc>
        <w:tc>
          <w:tcPr>
            <w:tcW w:w="1840" w:type="dxa"/>
            <w:noWrap w:val="0"/>
            <w:vAlign w:val="top"/>
          </w:tcPr>
          <w:p>
            <w:pPr>
              <w:rPr>
                <w:rFonts w:ascii="宋体"/>
              </w:rPr>
            </w:pPr>
            <w:r>
              <w:rPr>
                <w:rFonts w:hint="eastAsia" w:ascii="宋体" w:hAnsi="宋体"/>
              </w:rPr>
              <w:t>证书有效期</w:t>
            </w:r>
          </w:p>
        </w:tc>
        <w:tc>
          <w:tcPr>
            <w:tcW w:w="2412" w:type="dxa"/>
            <w:noWrap w:val="0"/>
            <w:vAlign w:val="top"/>
          </w:tcPr>
          <w:p>
            <w:pPr>
              <w:rPr>
                <w:rFonts w:ascii="宋体"/>
              </w:rPr>
            </w:pPr>
            <w:r>
              <w:rPr>
                <w:rFonts w:ascii="宋体" w:hAnsi="宋体"/>
              </w:rPr>
              <w:t>202</w:t>
            </w:r>
            <w:r>
              <w:rPr>
                <w:rFonts w:hint="eastAsia" w:ascii="宋体" w:hAnsi="宋体"/>
                <w:lang w:val="en-US" w:eastAsia="zh-CN"/>
              </w:rPr>
              <w:t>3</w:t>
            </w:r>
            <w:r>
              <w:rPr>
                <w:rFonts w:hint="eastAsia" w:ascii="宋体" w:hAnsi="宋体"/>
              </w:rPr>
              <w:t>年</w:t>
            </w:r>
            <w:r>
              <w:rPr>
                <w:rFonts w:hint="eastAsia" w:ascii="宋体" w:hAnsi="宋体"/>
                <w:highlight w:val="none"/>
                <w:lang w:val="en-US" w:eastAsia="zh-CN"/>
              </w:rPr>
              <w:t>09</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11</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3029" w:type="dxa"/>
            <w:noWrap w:val="0"/>
            <w:vAlign w:val="top"/>
          </w:tcPr>
          <w:p>
            <w:pPr>
              <w:tabs>
                <w:tab w:val="left" w:pos="880"/>
              </w:tabs>
              <w:autoSpaceDE w:val="0"/>
              <w:autoSpaceDN w:val="0"/>
              <w:adjustRightInd w:val="0"/>
              <w:spacing w:before="35" w:line="276" w:lineRule="auto"/>
              <w:ind w:right="161" w:firstLine="735" w:firstLineChars="350"/>
              <w:rPr>
                <w:rFonts w:ascii="宋体" w:cs="宋体"/>
                <w:kern w:val="0"/>
                <w:szCs w:val="21"/>
              </w:rPr>
            </w:pPr>
            <w:r>
              <w:rPr>
                <w:rFonts w:hint="eastAsia" w:ascii="宋体" w:cs="宋体"/>
                <w:kern w:val="0"/>
                <w:szCs w:val="21"/>
              </w:rPr>
              <w:t>第</w:t>
            </w:r>
            <w:r>
              <w:rPr>
                <w:rFonts w:hint="eastAsia" w:ascii="宋体" w:cs="宋体"/>
                <w:kern w:val="0"/>
                <w:szCs w:val="21"/>
                <w:lang w:eastAsia="zh-CN"/>
              </w:rPr>
              <w:t>二</w:t>
            </w:r>
            <w:r>
              <w:rPr>
                <w:rFonts w:hint="eastAsia" w:ascii="宋体" w:cs="宋体"/>
                <w:kern w:val="0"/>
                <w:szCs w:val="21"/>
              </w:rPr>
              <w:t>次</w:t>
            </w:r>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20</w:t>
            </w:r>
            <w:r>
              <w:rPr>
                <w:rFonts w:hint="eastAsia" w:ascii="宋体" w:hAnsi="宋体" w:cs="宋体"/>
                <w:kern w:val="0"/>
                <w:szCs w:val="21"/>
              </w:rPr>
              <w:t>年</w:t>
            </w:r>
            <w:r>
              <w:rPr>
                <w:rFonts w:hint="eastAsia" w:ascii="宋体" w:hAnsi="宋体" w:cs="宋体"/>
                <w:kern w:val="0"/>
                <w:szCs w:val="21"/>
                <w:lang w:val="en-US" w:eastAsia="zh-CN"/>
              </w:rPr>
              <w:t>7</w:t>
            </w:r>
            <w:r>
              <w:rPr>
                <w:rFonts w:hint="eastAsia" w:ascii="宋体" w:hAnsi="宋体" w:cs="宋体"/>
                <w:kern w:val="0"/>
                <w:szCs w:val="21"/>
              </w:rPr>
              <w:t>月</w:t>
            </w:r>
            <w:r>
              <w:rPr>
                <w:rFonts w:hint="eastAsia" w:ascii="宋体" w:hAnsi="宋体" w:cs="宋体"/>
                <w:kern w:val="0"/>
                <w:szCs w:val="21"/>
                <w:lang w:val="en-US" w:eastAsia="zh-CN"/>
              </w:rPr>
              <w:t>12</w:t>
            </w:r>
            <w:r>
              <w:rPr>
                <w:rFonts w:hint="eastAsia" w:ascii="宋体" w:hAnsi="宋体" w:cs="宋体"/>
                <w:kern w:val="0"/>
                <w:szCs w:val="21"/>
              </w:rPr>
              <w:t>日</w:t>
            </w:r>
            <w:r>
              <w:rPr>
                <w:rFonts w:hint="eastAsia" w:ascii="宋体" w:hAnsi="宋体" w:cs="宋体"/>
                <w:kern w:val="0"/>
                <w:szCs w:val="21"/>
                <w:lang w:val="en-US" w:eastAsia="zh-CN"/>
              </w:rPr>
              <w:t>-7月13日上午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top"/>
          </w:tcPr>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firstLine="105" w:firstLineChars="50"/>
              <w:rPr>
                <w:rFonts w:ascii="宋体" w:cs="宋体"/>
                <w:kern w:val="0"/>
                <w:szCs w:val="21"/>
              </w:rPr>
            </w:pPr>
            <w:r>
              <w:rPr>
                <w:rFonts w:hint="eastAsia" w:ascii="宋体" w:hAnsi="宋体" w:cs="宋体"/>
                <w:kern w:val="0"/>
                <w:szCs w:val="21"/>
              </w:rPr>
              <w:t>姓名及确认号</w:t>
            </w:r>
          </w:p>
        </w:tc>
        <w:tc>
          <w:tcPr>
            <w:tcW w:w="3029" w:type="dxa"/>
            <w:noWrap w:val="0"/>
            <w:vAlign w:val="top"/>
          </w:tcPr>
          <w:p>
            <w:pPr>
              <w:tabs>
                <w:tab w:val="left" w:pos="880"/>
              </w:tabs>
              <w:autoSpaceDE w:val="0"/>
              <w:autoSpaceDN w:val="0"/>
              <w:adjustRightInd w:val="0"/>
              <w:spacing w:before="35" w:line="276" w:lineRule="auto"/>
              <w:ind w:right="161"/>
              <w:rPr>
                <w:rFonts w:hint="eastAsia" w:ascii="宋体" w:hAnsi="宋体" w:eastAsia="宋体"/>
                <w:sz w:val="24"/>
                <w:szCs w:val="24"/>
                <w:lang w:val="en-US" w:eastAsia="zh-CN"/>
              </w:rPr>
            </w:pPr>
            <w:r>
              <w:rPr>
                <w:rFonts w:hint="eastAsia" w:ascii="宋体" w:hAnsi="宋体"/>
                <w:sz w:val="24"/>
                <w:szCs w:val="24"/>
                <w:lang w:eastAsia="zh-CN"/>
              </w:rPr>
              <w:t>姜丽</w:t>
            </w:r>
            <w:r>
              <w:rPr>
                <w:rFonts w:ascii="宋体" w:hAnsi="宋体"/>
                <w:sz w:val="24"/>
                <w:szCs w:val="24"/>
              </w:rPr>
              <w:t xml:space="preserve">  ISC[S]00</w:t>
            </w:r>
            <w:r>
              <w:rPr>
                <w:rFonts w:hint="eastAsia" w:ascii="宋体" w:hAnsi="宋体"/>
                <w:sz w:val="24"/>
                <w:szCs w:val="24"/>
                <w:lang w:val="en-US" w:eastAsia="zh-CN"/>
              </w:rPr>
              <w:t>23</w:t>
            </w:r>
          </w:p>
          <w:p>
            <w:pPr>
              <w:tabs>
                <w:tab w:val="left" w:pos="880"/>
              </w:tabs>
              <w:autoSpaceDE w:val="0"/>
              <w:autoSpaceDN w:val="0"/>
              <w:adjustRightInd w:val="0"/>
              <w:spacing w:before="35" w:line="276" w:lineRule="auto"/>
              <w:ind w:right="161"/>
              <w:rPr>
                <w:rFonts w:hint="default" w:ascii="宋体" w:eastAsiaTheme="minorEastAsia"/>
                <w:color w:val="000000"/>
                <w:kern w:val="0"/>
                <w:sz w:val="24"/>
                <w:szCs w:val="24"/>
                <w:lang w:val="en-US" w:eastAsia="zh-CN"/>
              </w:rPr>
            </w:pPr>
            <w:r>
              <w:rPr>
                <w:rFonts w:hint="eastAsia" w:ascii="宋体"/>
                <w:color w:val="000000"/>
                <w:kern w:val="0"/>
                <w:sz w:val="24"/>
                <w:szCs w:val="24"/>
                <w:lang w:eastAsia="zh-CN"/>
              </w:rPr>
              <w:t>杜黎鸣</w:t>
            </w:r>
            <w:r>
              <w:rPr>
                <w:rFonts w:ascii="宋体" w:hAnsi="宋体"/>
                <w:sz w:val="24"/>
                <w:szCs w:val="24"/>
              </w:rPr>
              <w:t xml:space="preserve"> ISC[S]0</w:t>
            </w:r>
            <w:r>
              <w:rPr>
                <w:rFonts w:hint="eastAsia" w:ascii="宋体" w:hAnsi="宋体"/>
                <w:sz w:val="24"/>
                <w:szCs w:val="24"/>
                <w:lang w:val="en-US" w:eastAsia="zh-CN"/>
              </w:rPr>
              <w:t>259</w:t>
            </w:r>
            <w:bookmarkStart w:id="5" w:name="_GoBack"/>
            <w:bookmarkEnd w:id="5"/>
          </w:p>
        </w:tc>
        <w:tc>
          <w:tcPr>
            <w:tcW w:w="184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szCs w:val="21"/>
                <w:lang w:val="en-US" w:eastAsia="zh-CN"/>
              </w:rPr>
              <w:t>生产技术部</w:t>
            </w:r>
            <w:r>
              <w:rPr>
                <w:rFonts w:hint="eastAsia" w:ascii="宋体" w:hAnsi="宋体" w:cs="宋体"/>
                <w:kern w:val="0"/>
                <w:szCs w:val="21"/>
              </w:rPr>
              <w:t>、</w:t>
            </w:r>
            <w:r>
              <w:rPr>
                <w:rFonts w:hint="eastAsia" w:ascii="宋体" w:hAnsi="宋体" w:cs="宋体"/>
                <w:kern w:val="0"/>
                <w:szCs w:val="21"/>
                <w:lang w:eastAsia="zh-CN"/>
              </w:rPr>
              <w:t>市场部、供应部、综合管理部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安庆市悦发管业有限公司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安庆市悦发管业有限公司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6</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15</w:t>
      </w:r>
      <w:r>
        <w:rPr>
          <w:rFonts w:ascii="Times New Roman" w:hAnsi="Times New Roman" w:cs="Times New Roman"/>
          <w:bCs/>
          <w:kern w:val="0"/>
          <w:szCs w:val="21"/>
          <w:highlight w:val="none"/>
        </w:rPr>
        <w:t>日，组织了公司测量管理体系内部审核。</w:t>
      </w:r>
      <w:r>
        <w:rPr>
          <w:rFonts w:hint="eastAsia" w:ascii="Times New Roman" w:hAnsi="Times New Roman" w:cs="Times New Roman"/>
          <w:bCs/>
          <w:kern w:val="0"/>
          <w:szCs w:val="21"/>
          <w:highlight w:val="none"/>
          <w:lang w:eastAsia="zh-CN"/>
        </w:rPr>
        <w:t>章鹤桥</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6</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7</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2</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兼</w:t>
      </w:r>
      <w:r>
        <w:rPr>
          <w:rFonts w:hint="eastAsia"/>
          <w:bCs/>
          <w:szCs w:val="21"/>
        </w:rPr>
        <w:t>管代</w:t>
      </w:r>
      <w:r>
        <w:rPr>
          <w:rFonts w:hint="eastAsia" w:ascii="Times New Roman" w:hAnsi="Times New Roman" w:cs="Times New Roman"/>
          <w:bCs/>
          <w:kern w:val="0"/>
          <w:szCs w:val="21"/>
          <w:highlight w:val="none"/>
          <w:lang w:eastAsia="zh-CN"/>
        </w:rPr>
        <w:t>季琨</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bookmarkStart w:id="3" w:name="审核范围"/>
      <w:r>
        <w:rPr>
          <w:rFonts w:hint="eastAsia" w:ascii="宋体" w:hAnsi="宋体"/>
          <w:szCs w:val="21"/>
        </w:rPr>
        <w:t>塑料管材、管件的制造和销售</w:t>
      </w:r>
      <w:bookmarkEnd w:id="3"/>
      <w:r>
        <w:rPr>
          <w:rFonts w:hint="eastAsia" w:ascii="宋体" w:hAnsi="宋体" w:cs="宋体"/>
          <w:color w:val="000000"/>
          <w:kern w:val="0"/>
          <w:szCs w:val="21"/>
        </w:rPr>
        <w:t>其服务</w:t>
      </w:r>
      <w:r>
        <w:rPr>
          <w:rFonts w:hint="eastAsia" w:ascii="宋体" w:hAnsi="宋体"/>
          <w:szCs w:val="21"/>
          <w:lang w:eastAsia="zh-CN"/>
        </w:rPr>
        <w:t>。</w:t>
      </w:r>
      <w:r>
        <w:rPr>
          <w:rFonts w:hint="eastAsia" w:ascii="Times New Roman" w:hAnsi="Times New Roman" w:cs="Times New Roman"/>
          <w:kern w:val="0"/>
          <w:szCs w:val="21"/>
          <w:lang w:eastAsia="zh-CN"/>
        </w:rPr>
        <w:t>生产技术部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kern w:val="0"/>
          <w:szCs w:val="21"/>
          <w:lang w:val="en-US" w:eastAsia="zh-CN"/>
        </w:rPr>
        <w:t>熔体流动速率试验</w:t>
      </w:r>
      <w:r>
        <w:rPr>
          <w:rFonts w:hint="eastAsia" w:ascii="Times New Roman" w:hAnsi="Times New Roman" w:cs="宋体"/>
          <w:lang w:eastAsia="zh-CN"/>
        </w:rPr>
        <w:t>、断裂伸长率、静液压强度试验、管材长度、壁厚尺寸测量</w:t>
      </w:r>
      <w:r>
        <w:rPr>
          <w:rFonts w:hint="eastAsia" w:ascii="宋体" w:hAnsi="宋体"/>
          <w:b w:val="0"/>
          <w:bCs/>
          <w:snapToGrid w:val="0"/>
          <w:color w:val="auto"/>
          <w:kern w:val="0"/>
          <w:szCs w:val="21"/>
          <w:u w:val="none"/>
          <w:lang w:eastAsia="zh-CN"/>
        </w:rPr>
        <w:t>等</w:t>
      </w:r>
      <w:r>
        <w:rPr>
          <w:rFonts w:hint="eastAsia" w:ascii="宋体" w:hAnsi="宋体"/>
          <w:b w:val="0"/>
          <w:bCs/>
          <w:snapToGrid w:val="0"/>
          <w:color w:val="auto"/>
          <w:kern w:val="0"/>
          <w:szCs w:val="21"/>
          <w:u w:val="none"/>
          <w:lang w:val="en-US" w:eastAsia="zh-CN"/>
        </w:rPr>
        <w:t>27个</w:t>
      </w:r>
      <w:r>
        <w:rPr>
          <w:rFonts w:hint="eastAsia" w:ascii="宋体" w:hAnsi="宋体" w:cs="宋体"/>
          <w:bCs/>
          <w:kern w:val="0"/>
          <w:szCs w:val="21"/>
          <w:highlight w:val="none"/>
        </w:rPr>
        <w:t>测</w:t>
      </w:r>
      <w:r>
        <w:rPr>
          <w:rFonts w:hint="eastAsia" w:ascii="宋体" w:hAnsi="宋体" w:cs="宋体"/>
          <w:bCs/>
          <w:kern w:val="0"/>
          <w:szCs w:val="21"/>
        </w:rPr>
        <w:t>量过程</w:t>
      </w:r>
      <w:r>
        <w:rPr>
          <w:rFonts w:ascii="Times New Roman" w:hAnsi="Times New Roman" w:cs="Times New Roman"/>
          <w:bCs/>
          <w:kern w:val="0"/>
          <w:szCs w:val="21"/>
        </w:rPr>
        <w:t>，其中关键</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测量过程个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51</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val="en-US" w:eastAsia="zh-CN"/>
        </w:rPr>
        <w:t>熔体流动速率试验</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eastAsia" w:ascii="宋体" w:hAnsi="宋体" w:cs="宋体"/>
          <w:kern w:val="0"/>
          <w:szCs w:val="21"/>
          <w:lang w:val="en-US" w:eastAsia="zh-CN"/>
        </w:rPr>
        <w:t>熔体流动速率试验</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val="en-US" w:eastAsia="zh-CN"/>
        </w:rPr>
        <w:t>熔体流动速率试验</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val="en-US" w:eastAsia="zh-CN"/>
        </w:rPr>
        <w:t>熔体流动速率试验</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上年监督</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监督</w:t>
      </w:r>
      <w:r>
        <w:rPr>
          <w:rFonts w:ascii="Times New Roman" w:hAnsi="Times New Roman" w:cs="Times New Roman"/>
          <w:szCs w:val="21"/>
        </w:rPr>
        <w:t>审核发现的</w:t>
      </w:r>
      <w:r>
        <w:rPr>
          <w:rFonts w:hint="eastAsia" w:ascii="Times New Roman" w:hAnsi="Times New Roman" w:cs="Times New Roman"/>
          <w:szCs w:val="21"/>
          <w:lang w:val="en-US" w:eastAsia="zh-CN"/>
        </w:rPr>
        <w:t>2</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“编号为</w:t>
      </w:r>
      <w:r>
        <w:rPr>
          <w:rFonts w:hint="eastAsia" w:ascii="Times New Roman" w:hAnsi="Times New Roman" w:cs="Times New Roman"/>
          <w:szCs w:val="21"/>
          <w:lang w:val="en-US" w:eastAsia="zh-CN"/>
        </w:rPr>
        <w:t>1707024万能试验机未按周期送检</w:t>
      </w:r>
      <w:r>
        <w:rPr>
          <w:rFonts w:hint="eastAsia"/>
          <w:bCs/>
          <w:szCs w:val="21"/>
          <w:lang w:val="en-US" w:eastAsia="zh-CN"/>
        </w:rPr>
        <w:t>”；</w:t>
      </w:r>
      <w:r>
        <w:rPr>
          <w:rFonts w:hint="eastAsia" w:ascii="宋体" w:hAnsi="宋体" w:cs="宋体"/>
          <w:kern w:val="0"/>
          <w:szCs w:val="21"/>
          <w:highlight w:val="none"/>
          <w:lang w:val="en-US" w:eastAsia="zh-CN"/>
        </w:rPr>
        <w:t>2“编号YF-SC-01《PE管材试验记录表》</w:t>
      </w:r>
      <w:r>
        <w:rPr>
          <w:rFonts w:hint="eastAsia"/>
          <w:szCs w:val="21"/>
        </w:rPr>
        <w:t>，</w:t>
      </w:r>
      <w:r>
        <w:rPr>
          <w:rFonts w:hint="eastAsia"/>
          <w:szCs w:val="21"/>
          <w:lang w:eastAsia="zh-CN"/>
        </w:rPr>
        <w:t>测量参数未标注法定计量单位</w:t>
      </w:r>
      <w:r>
        <w:rPr>
          <w:rFonts w:hint="eastAsia" w:ascii="宋体" w:hAnsi="宋体"/>
          <w:bCs/>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上</w:t>
      </w:r>
      <w:r>
        <w:rPr>
          <w:rFonts w:ascii="Times New Roman" w:hAnsi="Times New Roman" w:cs="Times New Roman"/>
          <w:bCs/>
          <w:kern w:val="0"/>
          <w:szCs w:val="21"/>
        </w:rPr>
        <w:t>年度</w:t>
      </w:r>
      <w:r>
        <w:rPr>
          <w:rFonts w:hint="eastAsia" w:ascii="Times New Roman" w:hAnsi="Times New Roman" w:cs="Times New Roman"/>
          <w:bCs/>
          <w:kern w:val="0"/>
          <w:szCs w:val="21"/>
          <w:lang w:eastAsia="zh-CN"/>
        </w:rPr>
        <w:t>监督审核后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企业营业执照未有变更，认证产品、组织机构等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企业用于</w:t>
      </w:r>
      <w:r>
        <w:rPr>
          <w:rFonts w:hint="eastAsia" w:ascii="宋体" w:hAnsi="宋体" w:cs="宋体"/>
          <w:bCs/>
          <w:kern w:val="0"/>
          <w:szCs w:val="21"/>
          <w:lang w:eastAsia="zh-CN"/>
        </w:rPr>
        <w:t>市政电力系统上电缆护套管、市政给排水管、双波纹污水处理管等的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jc w:val="left"/>
        <w:rPr>
          <w:rFonts w:hint="default" w:ascii="宋体" w:hAnsi="宋体" w:cs="宋体"/>
          <w:bCs/>
          <w:color w:val="auto"/>
          <w:kern w:val="0"/>
          <w:szCs w:val="21"/>
          <w:highlight w:val="none"/>
          <w:lang w:val="en-US"/>
        </w:rPr>
      </w:pPr>
      <w:r>
        <w:rPr>
          <w:rFonts w:hint="eastAsia" w:ascii="宋体" w:hAnsi="宋体" w:cs="宋体"/>
          <w:b/>
          <w:bCs/>
          <w:kern w:val="0"/>
          <w:szCs w:val="21"/>
          <w:lang w:val="en-US" w:eastAsia="zh-CN"/>
        </w:rPr>
        <w:t>10.1</w:t>
      </w:r>
      <w:r>
        <w:rPr>
          <w:rFonts w:hint="eastAsia" w:ascii="宋体" w:hAnsi="宋体" w:cs="宋体"/>
          <w:kern w:val="0"/>
          <w:szCs w:val="21"/>
        </w:rPr>
        <w:t>查生产技术部《熔体流动速率</w:t>
      </w:r>
      <w:r>
        <w:rPr>
          <w:rFonts w:hint="eastAsia" w:ascii="宋体" w:hAnsi="宋体" w:cs="宋体"/>
          <w:kern w:val="0"/>
          <w:szCs w:val="21"/>
          <w:lang w:eastAsia="zh-CN"/>
        </w:rPr>
        <w:t>试验</w:t>
      </w:r>
      <w:r>
        <w:rPr>
          <w:rFonts w:hint="eastAsia" w:ascii="宋体" w:hAnsi="宋体" w:cs="宋体"/>
          <w:kern w:val="0"/>
          <w:szCs w:val="21"/>
        </w:rPr>
        <w:t>》执行标准为</w:t>
      </w:r>
      <w:r>
        <w:rPr>
          <w:rFonts w:hint="eastAsia" w:ascii="宋体" w:hAnsi="宋体"/>
          <w:szCs w:val="21"/>
        </w:rPr>
        <w:t>GB</w:t>
      </w:r>
      <w:r>
        <w:rPr>
          <w:rFonts w:ascii="宋体" w:hAnsi="宋体"/>
          <w:szCs w:val="21"/>
        </w:rPr>
        <w:t>/T</w:t>
      </w:r>
      <w:r>
        <w:rPr>
          <w:rFonts w:hint="eastAsia" w:ascii="宋体" w:hAnsi="宋体"/>
          <w:szCs w:val="21"/>
        </w:rPr>
        <w:t xml:space="preserve"> 3682</w:t>
      </w:r>
      <w:r>
        <w:rPr>
          <w:rFonts w:ascii="宋体" w:hAnsi="宋体"/>
          <w:szCs w:val="21"/>
        </w:rPr>
        <w:t>-2000</w:t>
      </w:r>
      <w:r>
        <w:rPr>
          <w:rFonts w:hint="eastAsia" w:ascii="宋体" w:hAnsi="宋体" w:cs="宋体"/>
          <w:kern w:val="0"/>
          <w:szCs w:val="21"/>
        </w:rPr>
        <w:t>，应该及时更新为GB/T 3682.2-2018</w:t>
      </w:r>
      <w:r>
        <w:rPr>
          <w:rFonts w:hint="eastAsia" w:ascii="宋体" w:hAnsi="宋体" w:cs="宋体"/>
          <w:kern w:val="0"/>
          <w:szCs w:val="21"/>
          <w:lang w:eastAsia="zh-CN"/>
        </w:rPr>
        <w:t>《</w:t>
      </w:r>
      <w:r>
        <w:rPr>
          <w:rFonts w:hint="eastAsia" w:ascii="宋体" w:hAnsi="宋体" w:cs="宋体"/>
          <w:kern w:val="0"/>
          <w:szCs w:val="21"/>
        </w:rPr>
        <w:t>塑料 热塑性塑料熔体质量流动速率（MFR）和熔体体积流动速率（MVR）的测定 第2部分：对时间-温度历史和（或）湿度敏感的材料的试验方法</w:t>
      </w:r>
      <w:r>
        <w:rPr>
          <w:rFonts w:hint="eastAsia" w:ascii="宋体" w:hAnsi="宋体" w:cs="宋体"/>
          <w:kern w:val="0"/>
          <w:szCs w:val="21"/>
          <w:lang w:eastAsia="zh-CN"/>
        </w:rPr>
        <w:t>》</w:t>
      </w:r>
      <w:r>
        <w:rPr>
          <w:rFonts w:hint="eastAsia" w:ascii="宋体" w:hAnsi="宋体" w:cs="宋体"/>
          <w:kern w:val="0"/>
          <w:szCs w:val="21"/>
        </w:rPr>
        <w:t>。不符合GB/T19022-2003条款</w:t>
      </w:r>
      <w:r>
        <w:rPr>
          <w:rFonts w:ascii="宋体" w:hAnsi="宋体" w:cs="宋体"/>
          <w:kern w:val="0"/>
          <w:szCs w:val="21"/>
        </w:rPr>
        <w:t>6.2.1</w:t>
      </w:r>
      <w:r>
        <w:rPr>
          <w:rFonts w:hint="eastAsia" w:ascii="宋体" w:hAnsi="宋体" w:cs="宋体"/>
          <w:kern w:val="0"/>
          <w:szCs w:val="21"/>
          <w:lang w:eastAsia="zh-CN"/>
        </w:rPr>
        <w:t>程序中关于“</w:t>
      </w:r>
      <w:r>
        <w:rPr>
          <w:rFonts w:hint="eastAsia" w:ascii="宋体" w:hAnsi="宋体" w:cs="宋体"/>
          <w:kern w:val="0"/>
          <w:szCs w:val="21"/>
        </w:rPr>
        <w:t>制定新的程序或更改现有的程序应经授权批准并受控，程序应现行有效</w:t>
      </w:r>
      <w:r>
        <w:rPr>
          <w:rFonts w:hint="eastAsia" w:ascii="宋体" w:hAnsi="宋体" w:cs="宋体"/>
          <w:kern w:val="0"/>
          <w:szCs w:val="21"/>
          <w:lang w:eastAsia="zh-CN"/>
        </w:rPr>
        <w:t>”</w:t>
      </w:r>
      <w:r>
        <w:rPr>
          <w:rFonts w:hint="eastAsia" w:ascii="宋体" w:hAnsi="宋体" w:cs="宋体"/>
          <w:kern w:val="0"/>
          <w:szCs w:val="21"/>
        </w:rPr>
        <w:t>的规定要求。</w:t>
      </w:r>
      <w:r>
        <w:rPr>
          <w:rFonts w:hint="eastAsia" w:ascii="宋体" w:hAnsi="宋体" w:cs="宋体"/>
          <w:kern w:val="0"/>
          <w:szCs w:val="21"/>
          <w:lang w:eastAsia="zh-CN"/>
        </w:rPr>
        <w:t>属于次要不符合项。</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安庆市悦发管业有限公司</w:t>
      </w:r>
      <w:r>
        <w:rPr>
          <w:rFonts w:ascii="Times New Roman" w:hAnsi="Times New Roman" w:cs="Times New Roman"/>
          <w:bCs/>
          <w:kern w:val="0"/>
          <w:szCs w:val="21"/>
          <w:highlight w:val="none"/>
        </w:rPr>
        <w:t>，能耗主要是生产用电和生产用水。企业能源测量设备共计2块，电表1块，水表1块。主要耗能为电、水；</w:t>
      </w:r>
      <w:r>
        <w:rPr>
          <w:rFonts w:hint="eastAsia" w:ascii="Times New Roman" w:hAnsi="Times New Roman" w:cs="Times New Roman"/>
          <w:bCs/>
          <w:kern w:val="0"/>
          <w:szCs w:val="21"/>
          <w:highlight w:val="none"/>
        </w:rPr>
        <w:t>2019年</w:t>
      </w:r>
      <w:r>
        <w:rPr>
          <w:rFonts w:hint="eastAsia" w:ascii="Times New Roman" w:hAnsi="Times New Roman" w:cs="Times New Roman"/>
          <w:bCs/>
          <w:kern w:val="0"/>
          <w:szCs w:val="21"/>
          <w:highlight w:val="none"/>
          <w:lang w:val="en-US" w:eastAsia="zh-CN"/>
        </w:rPr>
        <w:t>7</w:t>
      </w:r>
      <w:r>
        <w:rPr>
          <w:rFonts w:hint="eastAsia"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2020年6月</w:t>
      </w:r>
      <w:r>
        <w:rPr>
          <w:rFonts w:hint="eastAsia" w:ascii="Times New Roman" w:hAnsi="Times New Roman" w:cs="Times New Roman"/>
          <w:bCs/>
          <w:kern w:val="0"/>
          <w:szCs w:val="21"/>
          <w:highlight w:val="none"/>
        </w:rPr>
        <w:t>电耗</w:t>
      </w:r>
      <w:r>
        <w:rPr>
          <w:rFonts w:hint="eastAsia" w:ascii="Times New Roman" w:hAnsi="Times New Roman" w:cs="Times New Roman"/>
          <w:bCs/>
          <w:kern w:val="0"/>
          <w:szCs w:val="21"/>
          <w:highlight w:val="none"/>
          <w:lang w:val="en-US" w:eastAsia="zh-CN"/>
        </w:rPr>
        <w:t>5200000</w:t>
      </w:r>
      <w:r>
        <w:rPr>
          <w:rFonts w:hint="eastAsia" w:ascii="Times New Roman" w:hAnsi="Times New Roman" w:cs="Times New Roman"/>
          <w:bCs/>
          <w:kern w:val="0"/>
          <w:szCs w:val="21"/>
          <w:highlight w:val="none"/>
        </w:rPr>
        <w:t>kWh，水耗</w:t>
      </w:r>
      <w:r>
        <w:rPr>
          <w:rFonts w:hint="eastAsia" w:ascii="Times New Roman" w:hAnsi="Times New Roman" w:cs="Times New Roman"/>
          <w:bCs/>
          <w:kern w:val="0"/>
          <w:szCs w:val="21"/>
          <w:highlight w:val="none"/>
          <w:lang w:val="en-US" w:eastAsia="zh-CN"/>
        </w:rPr>
        <w:t>8000</w:t>
      </w:r>
      <w:r>
        <w:rPr>
          <w:rFonts w:hint="eastAsia" w:ascii="Times New Roman" w:hAnsi="Times New Roman" w:cs="Times New Roman"/>
          <w:bCs/>
          <w:kern w:val="0"/>
          <w:szCs w:val="21"/>
          <w:highlight w:val="none"/>
        </w:rPr>
        <w:t>m</w:t>
      </w:r>
      <w:r>
        <w:rPr>
          <w:rFonts w:hint="eastAsia" w:ascii="Times New Roman" w:hAnsi="Times New Roman" w:cs="Times New Roman"/>
          <w:bCs/>
          <w:kern w:val="0"/>
          <w:szCs w:val="21"/>
          <w:highlight w:val="none"/>
          <w:vertAlign w:val="superscript"/>
        </w:rPr>
        <w:t>3</w:t>
      </w:r>
      <w:r>
        <w:rPr>
          <w:rFonts w:hint="eastAsia" w:ascii="Times New Roman" w:hAnsi="Times New Roman" w:cs="Times New Roman"/>
          <w:bCs/>
          <w:kern w:val="0"/>
          <w:szCs w:val="21"/>
          <w:highlight w:val="none"/>
        </w:rPr>
        <w:t>，折标煤合计</w:t>
      </w:r>
      <w:r>
        <w:rPr>
          <w:rFonts w:hint="eastAsia" w:ascii="Times New Roman" w:hAnsi="Times New Roman" w:cs="Times New Roman"/>
          <w:bCs/>
          <w:kern w:val="0"/>
          <w:szCs w:val="21"/>
          <w:highlight w:val="none"/>
          <w:lang w:val="en-US" w:eastAsia="zh-CN"/>
        </w:rPr>
        <w:t>639.77</w:t>
      </w:r>
      <w:r>
        <w:rPr>
          <w:rFonts w:hint="eastAsia" w:ascii="Times New Roman" w:hAnsi="Times New Roman" w:cs="Times New Roman"/>
          <w:bCs/>
          <w:kern w:val="0"/>
          <w:szCs w:val="21"/>
          <w:highlight w:val="none"/>
        </w:rPr>
        <w:t>吨标煤</w:t>
      </w:r>
      <w:r>
        <w:rPr>
          <w:rFonts w:ascii="Times New Roman" w:hAnsi="Times New Roman" w:cs="Times New Roman"/>
          <w:bCs/>
          <w:kern w:val="0"/>
          <w:szCs w:val="21"/>
          <w:highlight w:val="none"/>
        </w:rPr>
        <w:t>不是重点耗能企业。能源设备配备率和检测率满足标准要求。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通过2020年</w:t>
      </w:r>
      <w:r>
        <w:rPr>
          <w:rFonts w:hint="eastAsia" w:ascii="Times New Roman" w:hAnsi="Times New Roman" w:cs="Times New Roman"/>
          <w:bCs/>
          <w:kern w:val="0"/>
          <w:szCs w:val="21"/>
          <w:lang w:val="en-US" w:eastAsia="zh-CN"/>
        </w:rPr>
        <w:t>7</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12-13</w:t>
      </w:r>
      <w:r>
        <w:rPr>
          <w:rFonts w:ascii="Times New Roman" w:hAnsi="Times New Roman" w:cs="Times New Roman"/>
          <w:bCs/>
          <w:kern w:val="0"/>
          <w:szCs w:val="21"/>
        </w:rPr>
        <w:t>日</w:t>
      </w:r>
      <w:r>
        <w:rPr>
          <w:rFonts w:hint="eastAsia" w:ascii="Times New Roman" w:hAnsi="Times New Roman" w:cs="Times New Roman"/>
          <w:bCs/>
          <w:kern w:val="0"/>
          <w:szCs w:val="21"/>
          <w:lang w:eastAsia="zh-CN"/>
        </w:rPr>
        <w:t>上午</w:t>
      </w:r>
      <w:r>
        <w:rPr>
          <w:rFonts w:ascii="Times New Roman" w:hAnsi="Times New Roman" w:cs="Times New Roman"/>
          <w:bCs/>
          <w:kern w:val="0"/>
          <w:szCs w:val="21"/>
        </w:rPr>
        <w:t>，对</w:t>
      </w:r>
      <w:r>
        <w:rPr>
          <w:rFonts w:hint="eastAsia" w:ascii="Times New Roman" w:hAnsi="Times New Roman" w:cs="Times New Roman"/>
          <w:bCs/>
          <w:kern w:val="0"/>
          <w:szCs w:val="21"/>
          <w:lang w:eastAsia="zh-CN"/>
        </w:rPr>
        <w:t>安庆市悦发管业有限公司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监督</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安庆市悦发管业有限公司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2-3名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2、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jc w:val="left"/>
        <w:rPr>
          <w:rFonts w:ascii="Times New Roman" w:hAnsi="Times New Roman" w:eastAsia="宋体" w:cs="Times New Roman"/>
          <w:kern w:val="0"/>
          <w:szCs w:val="28"/>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9E5AB7"/>
    <w:rsid w:val="07CB0C61"/>
    <w:rsid w:val="0AAC43F2"/>
    <w:rsid w:val="0B6A287A"/>
    <w:rsid w:val="0C4A062D"/>
    <w:rsid w:val="0CF4221B"/>
    <w:rsid w:val="0DFC7968"/>
    <w:rsid w:val="0E553E18"/>
    <w:rsid w:val="0E8A307E"/>
    <w:rsid w:val="10514274"/>
    <w:rsid w:val="106725C6"/>
    <w:rsid w:val="10CC502F"/>
    <w:rsid w:val="10F52E13"/>
    <w:rsid w:val="110C45FB"/>
    <w:rsid w:val="11550A66"/>
    <w:rsid w:val="1193589A"/>
    <w:rsid w:val="12114279"/>
    <w:rsid w:val="13B07256"/>
    <w:rsid w:val="147A5742"/>
    <w:rsid w:val="15217ADC"/>
    <w:rsid w:val="15501560"/>
    <w:rsid w:val="17E86A55"/>
    <w:rsid w:val="191875B9"/>
    <w:rsid w:val="1A9066D8"/>
    <w:rsid w:val="1ACB2E07"/>
    <w:rsid w:val="1B6E0BCC"/>
    <w:rsid w:val="1DB528F4"/>
    <w:rsid w:val="1F96490F"/>
    <w:rsid w:val="1FD87C5A"/>
    <w:rsid w:val="221F4A52"/>
    <w:rsid w:val="22D6310F"/>
    <w:rsid w:val="236837F1"/>
    <w:rsid w:val="26D61E0E"/>
    <w:rsid w:val="290D70F9"/>
    <w:rsid w:val="294A7B5F"/>
    <w:rsid w:val="29EC5CDB"/>
    <w:rsid w:val="2CAB432C"/>
    <w:rsid w:val="2DD74E91"/>
    <w:rsid w:val="2E000AD3"/>
    <w:rsid w:val="2E92798F"/>
    <w:rsid w:val="30DE05E1"/>
    <w:rsid w:val="33947CD2"/>
    <w:rsid w:val="34D4260D"/>
    <w:rsid w:val="36823C9C"/>
    <w:rsid w:val="37596989"/>
    <w:rsid w:val="37C53059"/>
    <w:rsid w:val="38505CE2"/>
    <w:rsid w:val="38E460E2"/>
    <w:rsid w:val="39364992"/>
    <w:rsid w:val="3A8F40F6"/>
    <w:rsid w:val="3FD079A4"/>
    <w:rsid w:val="410611B0"/>
    <w:rsid w:val="4119198D"/>
    <w:rsid w:val="415E78AA"/>
    <w:rsid w:val="46FF1A20"/>
    <w:rsid w:val="478068A7"/>
    <w:rsid w:val="4B646F95"/>
    <w:rsid w:val="4E2C127C"/>
    <w:rsid w:val="4F966158"/>
    <w:rsid w:val="50AB3606"/>
    <w:rsid w:val="52CF4CBD"/>
    <w:rsid w:val="55C948E7"/>
    <w:rsid w:val="560936BF"/>
    <w:rsid w:val="56BD4064"/>
    <w:rsid w:val="57B34F29"/>
    <w:rsid w:val="584066CD"/>
    <w:rsid w:val="59EE788F"/>
    <w:rsid w:val="5AEA42C2"/>
    <w:rsid w:val="5C132391"/>
    <w:rsid w:val="5DA46180"/>
    <w:rsid w:val="60C64E46"/>
    <w:rsid w:val="62BA3AD0"/>
    <w:rsid w:val="63C16F8E"/>
    <w:rsid w:val="63FC6CAF"/>
    <w:rsid w:val="654B5DFD"/>
    <w:rsid w:val="65C01B44"/>
    <w:rsid w:val="6B9A7111"/>
    <w:rsid w:val="6CC32C31"/>
    <w:rsid w:val="6F264392"/>
    <w:rsid w:val="73877C76"/>
    <w:rsid w:val="738E408B"/>
    <w:rsid w:val="7405196C"/>
    <w:rsid w:val="74062830"/>
    <w:rsid w:val="74243E8A"/>
    <w:rsid w:val="75E04B0D"/>
    <w:rsid w:val="77555FF3"/>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TotalTime>
  <ScaleCrop>false</ScaleCrop>
  <LinksUpToDate>false</LinksUpToDate>
  <CharactersWithSpaces>3072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2020-07-13T07:46:11Z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