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泊头市中金机械设备制造有限公司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吴刚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bidi w:val="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律法规及执行标准识别不全，未见对GB16297-1996大气污染物综合排放标准二级标准、DB13/1640-2012工业炉窑大气污染物排放标准表一DB13/2322-2016工业企业挥发性有机物排放控制标准表2、GB12348-2008工业企业厂界环境噪声排放标准2类标准、GB16889-2008一般工业固体废物贮存、处置场污染控制标准 GB18597-2001危险废物贮存污染控制标准等的识别及合规性评价。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2947035</wp:posOffset>
                  </wp:positionH>
                  <wp:positionV relativeFrom="paragraph">
                    <wp:posOffset>163195</wp:posOffset>
                  </wp:positionV>
                  <wp:extent cx="1170940" cy="593090"/>
                  <wp:effectExtent l="0" t="0" r="10160" b="381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4445</wp:posOffset>
                  </wp:positionV>
                  <wp:extent cx="1170940" cy="593090"/>
                  <wp:effectExtent l="0" t="0" r="10160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2020年7月21日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培训记录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法律法规清单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合规性评价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未发生类似不符合，纠正措施有效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column">
                    <wp:posOffset>3537585</wp:posOffset>
                  </wp:positionH>
                  <wp:positionV relativeFrom="paragraph">
                    <wp:posOffset>90805</wp:posOffset>
                  </wp:positionV>
                  <wp:extent cx="1170940" cy="593090"/>
                  <wp:effectExtent l="0" t="0" r="10160" b="381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593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2020年7月22日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both"/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86363"/>
    <w:rsid w:val="1EE321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acer</cp:lastModifiedBy>
  <cp:lastPrinted>2019-05-13T03:02:00Z</cp:lastPrinted>
  <dcterms:modified xsi:type="dcterms:W3CDTF">2020-07-21T23:26:45Z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