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62"/>
        <w:gridCol w:w="1497"/>
        <w:gridCol w:w="567"/>
        <w:gridCol w:w="1134"/>
        <w:gridCol w:w="284"/>
        <w:gridCol w:w="425"/>
        <w:gridCol w:w="284"/>
        <w:gridCol w:w="491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烟台东林线束有限公司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0349-2020-Q</w:t>
            </w:r>
            <w:bookmarkEnd w:id="1"/>
          </w:p>
        </w:tc>
        <w:tc>
          <w:tcPr>
            <w:tcW w:w="149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鹿经理</w:t>
            </w:r>
            <w:bookmarkEnd w:id="5"/>
          </w:p>
        </w:tc>
        <w:tc>
          <w:tcPr>
            <w:tcW w:w="149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13864260931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孙莉</w:t>
            </w:r>
          </w:p>
        </w:tc>
        <w:tc>
          <w:tcPr>
            <w:tcW w:w="149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线束生产 ，电子配件、通用设备（点胶机、螺钉机）销售</w:t>
            </w:r>
            <w:bookmarkEnd w:id="10"/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19.11.02;29.12.00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2020年07月25日 上午至2020年07月25日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19.11.02,29.12.00</w:t>
            </w: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夏楠楠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实习审核员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13583541938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2020.7.20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tbl>
      <w:tblPr>
        <w:tblStyle w:val="5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385"/>
        <w:gridCol w:w="592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4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9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2020.7.25</w:t>
            </w: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9:30-11:30</w:t>
            </w:r>
          </w:p>
        </w:tc>
        <w:tc>
          <w:tcPr>
            <w:tcW w:w="59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综合管理部/生产技术部：</w:t>
            </w:r>
            <w:r>
              <w:rPr>
                <w:rFonts w:hint="eastAsia"/>
                <w:sz w:val="21"/>
                <w:szCs w:val="21"/>
              </w:rPr>
              <w:t>体系文件与体系标准、产品质量标准的符合性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1.5/8</w:t>
            </w:r>
            <w:r>
              <w:rPr>
                <w:rFonts w:hint="eastAsia"/>
                <w:sz w:val="21"/>
                <w:szCs w:val="21"/>
              </w:rPr>
              <w:t>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59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A723A8"/>
    <w:rsid w:val="66360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37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2020-07-26T00:52:28Z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