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淳化县丝路兴淳农业发展科技有限公司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郭力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2025年03月22日 上午至2025年03月22日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田鑫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