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西安东灿建设工程有限公司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王欢庆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bCs w:val="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eastAsia="zh-CN"/>
              </w:rPr>
              <w:t>查应急演练，未提供计划在</w:t>
            </w: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2020年6月进行的触电应急演练记录。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2837815</wp:posOffset>
                  </wp:positionH>
                  <wp:positionV relativeFrom="paragraph">
                    <wp:posOffset>112395</wp:posOffset>
                  </wp:positionV>
                  <wp:extent cx="684530" cy="428625"/>
                  <wp:effectExtent l="0" t="0" r="1270" b="1333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127000</wp:posOffset>
                  </wp:positionV>
                  <wp:extent cx="684530" cy="428625"/>
                  <wp:effectExtent l="0" t="0" r="1270" b="1333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经验证纠正措施实施有效，不符合项可以关闭。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3765550</wp:posOffset>
                  </wp:positionH>
                  <wp:positionV relativeFrom="paragraph">
                    <wp:posOffset>33655</wp:posOffset>
                  </wp:positionV>
                  <wp:extent cx="684530" cy="428625"/>
                  <wp:effectExtent l="0" t="0" r="1270" b="13335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2020.7.16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74177"/>
    <w:rsid w:val="08223984"/>
    <w:rsid w:val="46F02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2020-07-15T13:29:58Z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