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上海煜路电子科技有限公司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bookmarkStart w:id="5" w:name="专业代码"/>
            <w:r>
              <w:rPr>
                <w:rFonts w:hint="eastAsia"/>
                <w:b/>
                <w:sz w:val="20"/>
              </w:rPr>
              <w:t>29.12.00;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29.12.00;34.06.00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技术服务流程：客户要求识别--出技术方案--交付→售后服务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销售流程：客户需求—面对面服务—签订合同—采购—发货--验收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行业客户没有聚焦, 缺乏明确的行业核心业务定位, 对业务的核心竞争力培养较为欠缺;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公司还处于转制初创时期, 很难吸引到高素质的特别是具有丰富经验的设计开发;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公司转为市场化的经营公司时间尚短，成熟而规范的管理体制尚未健全;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暂时没有树立国内的知名品牌, 缺乏专业理论知识和大项目经验的积累；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公司缺乏必要的激励和监督机制, 没有采取足够的措施激励和发展人才, 改善和技术服务人员的形象, 使其增强市场意识和市场竞争能力；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市场化的业务处于起步阶段，利润较薄，缺乏长期持续发展能力；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企业市场规模</w:t>
            </w:r>
            <w:bookmarkStart w:id="6" w:name="_GoBack"/>
            <w:bookmarkEnd w:id="6"/>
            <w:r>
              <w:rPr>
                <w:rFonts w:hint="default" w:eastAsia="宋体"/>
                <w:b/>
                <w:sz w:val="20"/>
                <w:lang w:val="en-US" w:eastAsia="zh-CN"/>
              </w:rPr>
              <w:t>比较小，市场拓展能力有限，技术和销售专业技术人才储备不足，影响企业发展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fr-FR"/>
              </w:rPr>
              <w:t>《铁路通信设计规范》（TB 10006-2016）《高速铁路设计规范》（TB 10621-2014）《铁路数字移动通信系统GSM-R设计规范》（TB 10088-2015）《铁路数字调度通信系统及专用无线通信系统设计规范》（TB 10086-2009）《铁路工程设计防火规范》（TB 10063-2007）《铁路无人值守机房环境远程监控系统工程设计规范》（TB/T 10034-2005）《铁路防雷及接地工程技术规范》（TB 10180-2016）《GSM-R数字移动通信网技术体制（暂行）》（科技运[2006]120号）《铁路GSM-R数字移动通信系统网络技术规划》（铁信息函[2005]120号）《GSM-R无线网络覆盖和服务质量（QOS）测试方法（V1.0）》（科技运［2008］170号）《铁路数字移动通信系统（GSM-R）总体技术要求》（TBT 3224-2013）《GSM-R数字移动通信系统应用技术条件第一分册：调度通信系统V3.0》（科技运[2007]116号）《GSM-R数字移动通信系统应用技术条件第二分册：列车无线车次号校核信息传送系统V1.0》（科技运[2007]98号）关于发布《GSM-R数字移动通信应用技术条件：第三分册 调度命令信息无线传送系统（V1.0）》（科技运[2007]99号）《GSM-R中继传输系统设备技术规范》（科技运[2007]63号）《铁路数字移动通信系统（GSM-R）编号计划》（TB/T 3361-2015）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4592320</wp:posOffset>
            </wp:positionH>
            <wp:positionV relativeFrom="paragraph">
              <wp:posOffset>117475</wp:posOffset>
            </wp:positionV>
            <wp:extent cx="1019810" cy="480060"/>
            <wp:effectExtent l="0" t="0" r="8890" b="254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1127125</wp:posOffset>
            </wp:positionH>
            <wp:positionV relativeFrom="paragraph">
              <wp:posOffset>37465</wp:posOffset>
            </wp:positionV>
            <wp:extent cx="1019810" cy="480060"/>
            <wp:effectExtent l="0" t="0" r="8890" b="254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2020.7.12</w:t>
      </w:r>
      <w:r>
        <w:rPr>
          <w:rFonts w:hint="eastAsia"/>
          <w:b/>
          <w:sz w:val="18"/>
          <w:szCs w:val="18"/>
        </w:rPr>
        <w:t xml:space="preserve">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B43F39"/>
    <w:rsid w:val="187A538C"/>
    <w:rsid w:val="570964A2"/>
    <w:rsid w:val="72AD3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中文版式正文"/>
    <w:basedOn w:val="1"/>
    <w:qFormat/>
    <w:uiPriority w:val="0"/>
    <w:pPr>
      <w:adjustRightInd/>
      <w:spacing w:after="50" w:afterLines="50" w:line="300" w:lineRule="auto"/>
    </w:pPr>
    <w:rPr>
      <w:spacing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acer</cp:lastModifiedBy>
  <dcterms:modified xsi:type="dcterms:W3CDTF">2020-07-15T06:54:29Z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