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宇豪物业服务集团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64-2025-SC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合肥市庐阳区合瓦路149号上城国际新城铂爵宫办409、410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振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庐阳区合瓦路149号上城国际新城铂爵宫办409、410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海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51-6425229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5518288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（绿化养护服务、垃圾的收集、清运、卫生保洁服务、公共区域秩序维护服务、设施设备巡查和管理服务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合肥市肥东县金色地带小区,地址：合肥市肥东县金阳路与古河路东北侧,企业人数：24,审核范围：物业服务（绿化养护服务、垃圾的收集、清运、卫生保洁服务、公共区域秩序维护服务、设施设备巡查和管理服务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