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120" w:afterLines="5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Style w:val="4"/>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3" w:name="组织名称"/>
            <w:r>
              <w:rPr>
                <w:b/>
                <w:sz w:val="20"/>
              </w:rPr>
              <w:t>北京天安网信科技有限公司</w:t>
            </w:r>
            <w:bookmarkEnd w:id="3"/>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4" w:name="专业代码"/>
            <w:r>
              <w:rPr>
                <w:b/>
                <w:sz w:val="20"/>
              </w:rPr>
              <w:t>33.02.02;33.02.04</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朱晓丽</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33.02.02;</w:t>
            </w:r>
          </w:p>
          <w:p>
            <w:pPr>
              <w:snapToGrid w:val="0"/>
              <w:spacing w:line="280" w:lineRule="exact"/>
              <w:jc w:val="center"/>
              <w:rPr>
                <w:b/>
                <w:sz w:val="20"/>
              </w:rPr>
            </w:pPr>
            <w:r>
              <w:rPr>
                <w:b/>
                <w:sz w:val="20"/>
              </w:rPr>
              <w:t>33.02.04</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杨杰</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r>
              <w:rPr>
                <w:b/>
                <w:sz w:val="20"/>
              </w:rPr>
              <w:t>33.02.02;33.02.04</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center"/>
              <w:rPr>
                <w:b/>
                <w:sz w:val="20"/>
              </w:rPr>
            </w:pPr>
            <w:r>
              <w:rPr>
                <w:rFonts w:hint="eastAsia"/>
                <w:b/>
                <w:sz w:val="20"/>
                <w:lang w:eastAsia="zh-CN"/>
              </w:rPr>
              <w:t>需求确认→方案设计→现场环境准备、设备进场验收→线路布置、硬件系统安装调试→软件系统安装调试→系统试运行→验收→</w:t>
            </w:r>
            <w:r>
              <w:rPr>
                <w:rFonts w:hint="eastAsia"/>
                <w:b/>
                <w:sz w:val="20"/>
                <w:lang w:val="en-US" w:eastAsia="zh-CN"/>
              </w:rPr>
              <w:t>技术服务（客户问题反馈--问题解决--客户确认）</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left"/>
              <w:rPr>
                <w:rFonts w:hint="eastAsia"/>
                <w:b/>
                <w:sz w:val="20"/>
              </w:rPr>
            </w:pPr>
            <w:r>
              <w:rPr>
                <w:rFonts w:hint="eastAsia"/>
                <w:b/>
                <w:sz w:val="20"/>
              </w:rPr>
              <w:t>机遇：研发出市场需求潜力大、效益好的产品，能够吸引新的顾客，增加公司的经营收入，扩大公司规模。</w:t>
            </w:r>
          </w:p>
          <w:p>
            <w:pPr>
              <w:snapToGrid w:val="0"/>
              <w:spacing w:line="280" w:lineRule="exact"/>
              <w:jc w:val="left"/>
              <w:rPr>
                <w:rFonts w:hint="eastAsia"/>
                <w:b/>
                <w:sz w:val="20"/>
                <w:lang w:eastAsia="zh-CN"/>
              </w:rPr>
            </w:pPr>
            <w:r>
              <w:rPr>
                <w:rFonts w:hint="eastAsia"/>
                <w:b/>
                <w:sz w:val="20"/>
              </w:rPr>
              <w:t>风险：市场营销合同内容不完整，签订合同的对方主体无签约资格或相应的资质，导致合同的效力存在瑕疵，可能造成合同不生效</w:t>
            </w:r>
            <w:r>
              <w:rPr>
                <w:rFonts w:hint="eastAsia"/>
                <w:b/>
                <w:sz w:val="20"/>
                <w:lang w:eastAsia="zh-CN"/>
              </w:rPr>
              <w:t>；</w:t>
            </w:r>
            <w:r>
              <w:rPr>
                <w:rFonts w:hint="eastAsia"/>
                <w:b/>
                <w:sz w:val="20"/>
              </w:rPr>
              <w:t>材料、设备质量不合格但</w:t>
            </w:r>
            <w:r>
              <w:rPr>
                <w:rFonts w:hint="eastAsia"/>
                <w:b/>
                <w:sz w:val="20"/>
                <w:lang w:eastAsia="zh-CN"/>
              </w:rPr>
              <w:t>行政部</w:t>
            </w:r>
            <w:r>
              <w:rPr>
                <w:rFonts w:hint="eastAsia"/>
                <w:b/>
                <w:sz w:val="20"/>
              </w:rPr>
              <w:t>不注重保留相关证据，因此发生争议并引发诉讼后，公司因不能举证证明材料设备质量不合格，将面临承担违约解除合同的不利法律后果的风险</w:t>
            </w:r>
            <w:r>
              <w:rPr>
                <w:rFonts w:hint="eastAsia"/>
                <w:b/>
                <w:sz w:val="20"/>
                <w:lang w:eastAsia="zh-CN"/>
              </w:rPr>
              <w:t>；</w:t>
            </w:r>
            <w:r>
              <w:rPr>
                <w:rFonts w:hint="eastAsia"/>
                <w:b/>
                <w:sz w:val="20"/>
                <w:lang w:val="en-US" w:eastAsia="zh-CN"/>
              </w:rPr>
              <w:t>项目部</w:t>
            </w:r>
            <w:r>
              <w:rPr>
                <w:rFonts w:hint="eastAsia"/>
                <w:b/>
                <w:sz w:val="20"/>
              </w:rPr>
              <w:t>产品放行、交付验收资料不完整。将导致的风险有：a)收款被拖延；b)承担过期违约责任；c)承担产品或设备的继续保管义务</w:t>
            </w:r>
            <w:r>
              <w:rPr>
                <w:rFonts w:hint="eastAsia"/>
                <w:b/>
                <w:sz w:val="20"/>
                <w:lang w:eastAsia="zh-CN"/>
              </w:rPr>
              <w:t>；项目部</w:t>
            </w:r>
            <w:r>
              <w:rPr>
                <w:rFonts w:hint="eastAsia"/>
                <w:b/>
                <w:sz w:val="20"/>
              </w:rPr>
              <w:t>项目研发周期长，可能会产生竞争对手研发单位提前研发出来注册，申请专利，造成公司时间、费用、人力、成本的损失</w:t>
            </w:r>
            <w:r>
              <w:rPr>
                <w:rFonts w:hint="eastAsia"/>
                <w:b/>
                <w:sz w:val="20"/>
                <w:lang w:eastAsia="zh-CN"/>
              </w:rPr>
              <w:t>；</w:t>
            </w:r>
            <w:r>
              <w:rPr>
                <w:rFonts w:hint="eastAsia"/>
                <w:b/>
                <w:sz w:val="20"/>
              </w:rPr>
              <w:t>研发团队的核心成员流失，从而造成研发项目不能按期完成，甚至是商业秘密和技术秘密的泄露。</w:t>
            </w:r>
          </w:p>
          <w:p>
            <w:pPr>
              <w:snapToGrid w:val="0"/>
              <w:spacing w:line="280" w:lineRule="exact"/>
              <w:jc w:val="left"/>
              <w:rPr>
                <w:rFonts w:hint="eastAsia"/>
                <w:b/>
                <w:sz w:val="20"/>
                <w:lang w:val="en-US" w:eastAsia="zh-CN"/>
              </w:rPr>
            </w:pPr>
            <w:r>
              <w:rPr>
                <w:rFonts w:hint="eastAsia"/>
                <w:b/>
                <w:sz w:val="20"/>
                <w:lang w:val="en-US" w:eastAsia="zh-CN"/>
              </w:rPr>
              <w:t>措施：</w:t>
            </w:r>
          </w:p>
          <w:p>
            <w:pPr>
              <w:snapToGrid w:val="0"/>
              <w:spacing w:line="280" w:lineRule="exact"/>
              <w:jc w:val="left"/>
              <w:rPr>
                <w:rFonts w:hint="eastAsia"/>
                <w:b/>
                <w:sz w:val="20"/>
                <w:lang w:eastAsia="zh-CN"/>
              </w:rPr>
            </w:pPr>
            <w:r>
              <w:rPr>
                <w:rFonts w:hint="eastAsia"/>
                <w:b/>
                <w:sz w:val="20"/>
              </w:rPr>
              <w:t>签订市场营销合同</w:t>
            </w:r>
            <w:bookmarkStart w:id="5" w:name="_GoBack"/>
            <w:bookmarkEnd w:id="5"/>
            <w:r>
              <w:rPr>
                <w:rFonts w:hint="eastAsia"/>
                <w:b/>
                <w:sz w:val="20"/>
              </w:rPr>
              <w:t>前要进一步审查对方主体是否具有签约资格和相应资质。避免与不具备主体资格的部门或人员签约</w:t>
            </w:r>
            <w:r>
              <w:rPr>
                <w:rFonts w:hint="eastAsia"/>
                <w:b/>
                <w:sz w:val="20"/>
                <w:lang w:eastAsia="zh-CN"/>
              </w:rPr>
              <w:t>；</w:t>
            </w:r>
          </w:p>
          <w:p>
            <w:pPr>
              <w:snapToGrid w:val="0"/>
              <w:spacing w:line="280" w:lineRule="exact"/>
              <w:jc w:val="left"/>
              <w:rPr>
                <w:rFonts w:hint="eastAsia"/>
                <w:b/>
                <w:sz w:val="20"/>
                <w:lang w:eastAsia="zh-CN"/>
              </w:rPr>
            </w:pPr>
            <w:r>
              <w:rPr>
                <w:rFonts w:hint="eastAsia"/>
                <w:b/>
                <w:sz w:val="20"/>
              </w:rPr>
              <w:t>在采购合同履行过程中应按约定的程序严格审查材料、设备的质量，对不合格的材料、设备应做好记录，保留有效证据，并尽可能取得供应商的确认。如需解除合同，应先协商解除并签订书面协议，如不能协商解除的，应委托专业机构对封存的质量不合格的材料设备样品进行鉴定，以该鉴定结论作为依法解除合同的依据</w:t>
            </w:r>
            <w:r>
              <w:rPr>
                <w:rFonts w:hint="eastAsia"/>
                <w:b/>
                <w:sz w:val="20"/>
                <w:lang w:eastAsia="zh-CN"/>
              </w:rPr>
              <w:t>；</w:t>
            </w:r>
          </w:p>
          <w:p>
            <w:pPr>
              <w:snapToGrid w:val="0"/>
              <w:spacing w:line="280" w:lineRule="exact"/>
              <w:jc w:val="left"/>
              <w:rPr>
                <w:rFonts w:hint="eastAsia"/>
                <w:b/>
                <w:sz w:val="20"/>
                <w:lang w:eastAsia="zh-CN"/>
              </w:rPr>
            </w:pPr>
            <w:r>
              <w:rPr>
                <w:rFonts w:hint="eastAsia"/>
                <w:b/>
                <w:sz w:val="20"/>
                <w:lang w:val="en-US" w:eastAsia="zh-CN"/>
              </w:rPr>
              <w:t>项目部</w:t>
            </w:r>
            <w:r>
              <w:rPr>
                <w:rFonts w:hint="eastAsia"/>
                <w:b/>
                <w:sz w:val="20"/>
              </w:rPr>
              <w:t>应严格按照合同的交货期约定准备好产品验收资料和验收报告，目录清晰并装订成册，做好资料的送达及签收工作；明确交接资料清单，并办理书面交接手续</w:t>
            </w:r>
            <w:r>
              <w:rPr>
                <w:rFonts w:hint="eastAsia"/>
                <w:b/>
                <w:sz w:val="20"/>
                <w:lang w:eastAsia="zh-CN"/>
              </w:rPr>
              <w:t>；</w:t>
            </w:r>
          </w:p>
          <w:p>
            <w:pPr>
              <w:snapToGrid w:val="0"/>
              <w:spacing w:line="280" w:lineRule="exact"/>
              <w:jc w:val="left"/>
              <w:rPr>
                <w:rFonts w:hint="eastAsia"/>
                <w:b/>
                <w:sz w:val="20"/>
                <w:lang w:eastAsia="zh-CN"/>
              </w:rPr>
            </w:pPr>
            <w:r>
              <w:rPr>
                <w:rFonts w:hint="eastAsia"/>
                <w:b/>
                <w:sz w:val="20"/>
                <w:lang w:eastAsia="zh-CN"/>
              </w:rPr>
              <w:t>项目部</w:t>
            </w:r>
            <w:r>
              <w:rPr>
                <w:rFonts w:hint="eastAsia"/>
                <w:b/>
                <w:sz w:val="20"/>
              </w:rPr>
              <w:t>优化设计过程，避免重复研究，减少研发过程中的浪费，尽量缩短研发周期</w:t>
            </w:r>
            <w:r>
              <w:rPr>
                <w:rFonts w:hint="eastAsia"/>
                <w:b/>
                <w:sz w:val="20"/>
                <w:lang w:eastAsia="zh-CN"/>
              </w:rPr>
              <w:t>；</w:t>
            </w:r>
          </w:p>
          <w:p>
            <w:pPr>
              <w:snapToGrid w:val="0"/>
              <w:spacing w:line="280" w:lineRule="exact"/>
              <w:jc w:val="left"/>
              <w:rPr>
                <w:rFonts w:hint="eastAsia"/>
                <w:b/>
                <w:sz w:val="20"/>
                <w:lang w:eastAsia="zh-CN"/>
              </w:rPr>
            </w:pPr>
            <w:r>
              <w:rPr>
                <w:rFonts w:hint="eastAsia"/>
                <w:b/>
                <w:sz w:val="20"/>
              </w:rPr>
              <w:t>研发团队加强职工思想教育，加强项目的保密性管理，签署保密协议及项目研发责任书，防止人才流失</w:t>
            </w:r>
            <w:r>
              <w:rPr>
                <w:rFonts w:hint="eastAsia"/>
                <w:b/>
                <w:sz w:val="20"/>
                <w:lang w:eastAsia="zh-CN"/>
              </w:rPr>
              <w:t>；</w:t>
            </w:r>
          </w:p>
          <w:p>
            <w:pPr>
              <w:snapToGrid w:val="0"/>
              <w:spacing w:line="280" w:lineRule="exact"/>
              <w:jc w:val="left"/>
              <w:rPr>
                <w:rFonts w:hint="eastAsia"/>
                <w:b/>
                <w:sz w:val="20"/>
                <w:lang w:eastAsia="zh-CN"/>
              </w:rPr>
            </w:pPr>
            <w:r>
              <w:rPr>
                <w:rFonts w:hint="eastAsia"/>
                <w:b/>
                <w:sz w:val="20"/>
              </w:rPr>
              <w:t>加强项目的研发前</w:t>
            </w:r>
            <w:r>
              <w:rPr>
                <w:rFonts w:hint="eastAsia"/>
                <w:b/>
                <w:sz w:val="20"/>
                <w:lang w:eastAsia="zh-CN"/>
              </w:rPr>
              <w:t>期</w:t>
            </w:r>
            <w:r>
              <w:rPr>
                <w:rFonts w:hint="eastAsia"/>
                <w:b/>
                <w:sz w:val="20"/>
              </w:rPr>
              <w:t>、市场调研和项目技术经济论证。做好项目的实施和质量保证，及时开发出新产品投入市场</w:t>
            </w:r>
            <w:r>
              <w:rPr>
                <w:rFonts w:hint="eastAsia"/>
                <w:b/>
                <w:sz w:val="20"/>
                <w:lang w:eastAsia="zh-CN"/>
              </w:rPr>
              <w:t>；</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center"/>
              <w:rPr>
                <w:b/>
                <w:sz w:val="20"/>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b/>
                <w:sz w:val="20"/>
              </w:rPr>
            </w:pPr>
            <w:r>
              <w:rPr>
                <w:rFonts w:hint="eastAsia"/>
                <w:b/>
                <w:sz w:val="20"/>
              </w:rPr>
              <w:t>《合同法》、GB 50311-2016 《综合布线系统工程设计规范》GB 50312-2016 《综合布线系统工程验收规范》</w:t>
            </w:r>
            <w:r>
              <w:rPr>
                <w:rFonts w:hint="eastAsia"/>
                <w:b/>
                <w:sz w:val="20"/>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r>
        <w:drawing>
          <wp:anchor distT="0" distB="0" distL="114300" distR="114300" simplePos="0" relativeHeight="251659264" behindDoc="1" locked="0" layoutInCell="1" allowOverlap="1">
            <wp:simplePos x="0" y="0"/>
            <wp:positionH relativeFrom="column">
              <wp:posOffset>3761740</wp:posOffset>
            </wp:positionH>
            <wp:positionV relativeFrom="paragraph">
              <wp:posOffset>24130</wp:posOffset>
            </wp:positionV>
            <wp:extent cx="955675" cy="553085"/>
            <wp:effectExtent l="0" t="0" r="9525"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955675" cy="553085"/>
                    </a:xfrm>
                    <a:prstGeom prst="rect">
                      <a:avLst/>
                    </a:prstGeom>
                    <a:noFill/>
                    <a:ln>
                      <a:noFill/>
                    </a:ln>
                  </pic:spPr>
                </pic:pic>
              </a:graphicData>
            </a:graphic>
          </wp:anchor>
        </w:drawing>
      </w:r>
    </w:p>
    <w:p>
      <w:pPr>
        <w:snapToGrid w:val="0"/>
        <w:rPr>
          <w:rFonts w:ascii="宋体"/>
          <w:b/>
          <w:sz w:val="22"/>
          <w:szCs w:val="22"/>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drawing>
          <wp:anchor distT="0" distB="0" distL="114300" distR="114300" simplePos="0" relativeHeight="251658240" behindDoc="1" locked="0" layoutInCell="1" allowOverlap="1">
            <wp:simplePos x="0" y="0"/>
            <wp:positionH relativeFrom="column">
              <wp:posOffset>652780</wp:posOffset>
            </wp:positionH>
            <wp:positionV relativeFrom="paragraph">
              <wp:posOffset>-75565</wp:posOffset>
            </wp:positionV>
            <wp:extent cx="955675" cy="553085"/>
            <wp:effectExtent l="0" t="0" r="9525"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55675" cy="553085"/>
                    </a:xfrm>
                    <a:prstGeom prst="rect">
                      <a:avLst/>
                    </a:prstGeom>
                    <a:noFill/>
                    <a:ln>
                      <a:noFill/>
                    </a:ln>
                  </pic:spPr>
                </pic:pic>
              </a:graphicData>
            </a:graphic>
          </wp:anchor>
        </w:drawing>
      </w:r>
      <w:r>
        <w:rPr>
          <w:rFonts w:hint="eastAsia" w:ascii="宋体"/>
          <w:b/>
          <w:sz w:val="22"/>
          <w:szCs w:val="22"/>
          <w:lang w:val="en-US" w:eastAsia="zh-CN"/>
        </w:rPr>
        <w:t>2020年7月6日</w:t>
      </w:r>
      <w:r>
        <w:rPr>
          <w:rFonts w:hint="eastAsia" w:ascii="宋体"/>
          <w:b/>
          <w:sz w:val="22"/>
          <w:szCs w:val="22"/>
        </w:rPr>
        <w:t xml:space="preserve">            审核组长</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ascii="宋体"/>
          <w:b/>
          <w:sz w:val="22"/>
          <w:szCs w:val="22"/>
          <w:lang w:val="en-US" w:eastAsia="zh-CN"/>
        </w:rPr>
        <w:t>2020年7月6日</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8"/>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E5E23EF"/>
    <w:rsid w:val="5EC9372F"/>
    <w:rsid w:val="7F591D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6"/>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页眉 字符"/>
    <w:basedOn w:val="5"/>
    <w:link w:val="2"/>
    <w:qFormat/>
    <w:uiPriority w:val="99"/>
    <w:rPr>
      <w:rFonts w:ascii="Times New Roman" w:hAnsi="Times New Roman" w:eastAsia="宋体" w:cs="Times New Roman"/>
      <w:sz w:val="18"/>
      <w:szCs w:val="18"/>
    </w:rPr>
  </w:style>
  <w:style w:type="character" w:customStyle="1" w:styleId="7">
    <w:name w:val="页脚 字符"/>
    <w:basedOn w:val="5"/>
    <w:link w:val="3"/>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1</TotalTime>
  <ScaleCrop>false</ScaleCrop>
  <LinksUpToDate>false</LinksUpToDate>
  <CharactersWithSpaces>292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acer</cp:lastModifiedBy>
  <dcterms:modified xsi:type="dcterms:W3CDTF">2020-07-13T00:00:23Z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