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0389-2019-Q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中国重汽集团南充海乐机械有限公司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rFonts w:hint="default" w:eastAsia="宋体"/>
                <w:b/>
                <w:color w:val="000000"/>
                <w:sz w:val="20"/>
                <w:szCs w:val="20"/>
                <w:lang w:val="en-US" w:eastAsia="zh-CN"/>
              </w:rPr>
            </w:pPr>
            <w:r>
              <w:rPr>
                <w:rFonts w:hint="eastAsia"/>
                <w:b/>
                <w:color w:val="000000"/>
                <w:sz w:val="20"/>
                <w:szCs w:val="20"/>
                <w:lang w:val="en-US" w:eastAsia="zh-CN"/>
              </w:rPr>
              <w:t>2019-N1QMS-1242345</w:t>
            </w:r>
          </w:p>
        </w:tc>
        <w:tc>
          <w:tcPr>
            <w:tcW w:w="2179" w:type="dxa"/>
            <w:gridSpan w:val="2"/>
            <w:vAlign w:val="center"/>
          </w:tcPr>
          <w:p>
            <w:pPr>
              <w:spacing w:line="240" w:lineRule="exact"/>
              <w:jc w:val="center"/>
              <w:rPr>
                <w:b/>
                <w:color w:val="000000"/>
                <w:sz w:val="20"/>
                <w:szCs w:val="20"/>
              </w:rPr>
            </w:pPr>
            <w:r>
              <w:rPr>
                <w:b/>
                <w:color w:val="000000"/>
                <w:sz w:val="20"/>
                <w:szCs w:val="20"/>
              </w:rPr>
              <w:t>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中国重汽集团南充海乐机械有限公司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南充市顺庆区华荣路一段66号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637000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南充市顺庆区华荣路一段66号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南充市顺庆区华荣路一段66号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637000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唐海宏</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0817-2582129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张殿平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hint="eastAsia" w:ascii="宋体" w:eastAsia="宋体"/>
                <w:b/>
                <w:color w:val="000000"/>
                <w:sz w:val="20"/>
                <w:szCs w:val="20"/>
                <w:lang w:eastAsia="zh-CN"/>
              </w:rPr>
            </w:pPr>
            <w:r>
              <w:rPr>
                <w:rFonts w:hint="eastAsia" w:ascii="宋体"/>
                <w:b/>
                <w:color w:val="000000"/>
                <w:sz w:val="20"/>
                <w:szCs w:val="20"/>
                <w:lang w:eastAsia="zh-CN"/>
              </w:rPr>
              <w:t>张利林</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313549503@qq.com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车用液压油缸、矿山液压油缸的生产</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18.01.02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综合管理部、生产采购部、销售中心、技术中心</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南充市顺庆区华荣路一段66号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2"/>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2"/>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2"/>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2"/>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998"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998"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2"/>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2"/>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2"/>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3"/>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3"/>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3"/>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3"/>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3"/>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3"/>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8"/>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8"/>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4"/>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车用液压油缸、矿山液压油缸的生产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综合管理部、生产采购部、销售中心、技术中心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综合管理部、技术中心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技术中心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南充市顺庆区华荣路一段66号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s="Times New Roman"/>
                <w:color w:val="000000"/>
                <w:sz w:val="20"/>
                <w:szCs w:val="20"/>
                <w:lang w:val="en-US" w:eastAsia="zh-CN"/>
              </w:rPr>
              <w:t>原材料采购——检验——下料——机械加工（车铣钻）——焊接——表面处理——检验入库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焊接、电镀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电镀作业指导书、焊接作业指导书、二氧化碳气体保护焊接技术规范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 w:val="21"/>
                <w:szCs w:val="21"/>
                <w:highlight w:val="none"/>
                <w:lang w:eastAsia="zh-CN"/>
              </w:rPr>
              <w:t>普通车床、外圆磨床、深孔镗床、数控车床、钻床、铣床、焊接机器人、自动行架加工线、焊机、行车等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sz w:val="21"/>
                <w:szCs w:val="21"/>
                <w:highlight w:val="none"/>
                <w:lang w:eastAsia="zh-CN"/>
              </w:rPr>
              <w:t>内沟槽卡尺、内沟槽游标卡尺、游标卡尺、深度游标卡尺、带表游标卡尺、外径千分尺、耐振压力表、覆层测厚仪、内径百分表等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100</w:t>
            </w:r>
            <w:r>
              <w:rPr>
                <w:rFonts w:hint="eastAsia" w:ascii="宋体"/>
                <w:color w:val="000000"/>
                <w:sz w:val="20"/>
                <w:szCs w:val="20"/>
              </w:rPr>
              <w:t>人，其中管理人员：</w:t>
            </w:r>
            <w:r>
              <w:rPr>
                <w:rFonts w:hint="eastAsia" w:ascii="宋体"/>
                <w:color w:val="000000"/>
                <w:sz w:val="20"/>
                <w:szCs w:val="20"/>
                <w:lang w:val="en-US" w:eastAsia="zh-CN"/>
              </w:rPr>
              <w:t>16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生产采购部、技术中心</w:t>
            </w:r>
          </w:p>
          <w:p>
            <w:pPr>
              <w:spacing w:line="400" w:lineRule="exact"/>
              <w:rPr>
                <w:rFonts w:hint="eastAsia" w:ascii="宋体" w:eastAsia="宋体"/>
                <w:b/>
                <w:color w:val="000000"/>
                <w:sz w:val="20"/>
                <w:szCs w:val="20"/>
                <w:lang w:eastAsia="zh-CN"/>
              </w:rPr>
            </w:pPr>
            <w:r>
              <w:rPr>
                <w:rFonts w:hint="eastAsia" w:ascii="宋体" w:hAnsi="宋体"/>
                <w:b/>
                <w:color w:val="000000"/>
                <w:sz w:val="20"/>
                <w:szCs w:val="20"/>
              </w:rPr>
              <w:t>重点审核过程：外部供应产品和</w:t>
            </w:r>
            <w:r>
              <w:rPr>
                <w:rFonts w:hint="eastAsia" w:ascii="宋体" w:hAnsi="宋体" w:cs="Times New Roman"/>
                <w:b/>
                <w:color w:val="000000"/>
                <w:sz w:val="20"/>
                <w:szCs w:val="20"/>
              </w:rPr>
              <w:t>服务的控制、顾客满意；产品和服务放行、不合格产品和服务</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rPr>
              <w:t>不合格输出的控制</w:t>
            </w:r>
            <w:r>
              <w:rPr>
                <w:rFonts w:hint="eastAsia" w:ascii="宋体" w:hAnsi="宋体" w:cs="Times New Roman"/>
                <w:b/>
                <w:color w:val="000000"/>
                <w:sz w:val="20"/>
                <w:szCs w:val="20"/>
                <w:lang w:eastAsia="zh-CN"/>
              </w:rPr>
              <w:t>、监视和测量设备管理等</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生产现场、办公室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Cs w:val="21"/>
                <w:highlight w:val="none"/>
              </w:rPr>
              <w:t>建立有《内部审核控制程序》，于2019年</w:t>
            </w:r>
            <w:r>
              <w:rPr>
                <w:rFonts w:hint="eastAsia"/>
                <w:szCs w:val="21"/>
                <w:highlight w:val="none"/>
                <w:lang w:val="en-US" w:eastAsia="zh-CN"/>
              </w:rPr>
              <w:t>5</w:t>
            </w:r>
            <w:r>
              <w:rPr>
                <w:rFonts w:hint="eastAsia"/>
                <w:szCs w:val="21"/>
                <w:highlight w:val="none"/>
              </w:rPr>
              <w:t>月</w:t>
            </w:r>
            <w:r>
              <w:rPr>
                <w:rFonts w:hint="eastAsia"/>
                <w:szCs w:val="21"/>
                <w:highlight w:val="none"/>
                <w:lang w:val="en-US" w:eastAsia="zh-CN"/>
              </w:rPr>
              <w:t>15</w:t>
            </w:r>
            <w:r>
              <w:rPr>
                <w:rFonts w:hint="eastAsia"/>
                <w:szCs w:val="21"/>
                <w:highlight w:val="none"/>
              </w:rPr>
              <w:t>日进行了内部审核。内部审核组组成:   组长：</w:t>
            </w:r>
            <w:r>
              <w:rPr>
                <w:rFonts w:hint="eastAsia" w:ascii="Times New Roman" w:hAnsi="Times New Roman" w:cs="Times New Roman"/>
                <w:szCs w:val="21"/>
                <w:highlight w:val="none"/>
              </w:rPr>
              <w:t xml:space="preserve"> </w:t>
            </w:r>
            <w:r>
              <w:rPr>
                <w:rFonts w:hint="eastAsia" w:ascii="Times New Roman" w:hAnsi="Times New Roman" w:cs="Times New Roman"/>
                <w:szCs w:val="21"/>
                <w:highlight w:val="none"/>
                <w:lang w:eastAsia="zh-CN"/>
              </w:rPr>
              <w:t>张利林</w:t>
            </w:r>
          </w:p>
          <w:p>
            <w:pPr>
              <w:spacing w:line="400" w:lineRule="exact"/>
              <w:rPr>
                <w:rFonts w:ascii="宋体"/>
                <w:b/>
                <w:color w:val="000000"/>
                <w:sz w:val="20"/>
                <w:szCs w:val="20"/>
              </w:rPr>
            </w:pPr>
            <w:r>
              <w:rPr>
                <w:rFonts w:hint="eastAsia"/>
                <w:szCs w:val="21"/>
                <w:highlight w:val="none"/>
              </w:rPr>
              <w:t xml:space="preserve">                  组员： </w:t>
            </w:r>
            <w:r>
              <w:rPr>
                <w:rFonts w:hint="eastAsia" w:ascii="Times New Roman" w:hAnsi="Times New Roman" w:cs="Times New Roman"/>
                <w:szCs w:val="21"/>
                <w:highlight w:val="none"/>
                <w:lang w:eastAsia="zh-CN"/>
              </w:rPr>
              <w:t>唐海宏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spacing w:line="400" w:lineRule="exact"/>
              <w:rPr>
                <w:szCs w:val="21"/>
                <w:highlight w:val="none"/>
              </w:rPr>
            </w:pPr>
            <w:r>
              <w:rPr>
                <w:rFonts w:hint="eastAsia"/>
                <w:szCs w:val="21"/>
                <w:highlight w:val="none"/>
              </w:rPr>
              <w:t>审核范围:管理体系涉及的公司所有部门及活动场所。</w:t>
            </w:r>
          </w:p>
          <w:p>
            <w:pPr>
              <w:spacing w:line="400" w:lineRule="exact"/>
              <w:rPr>
                <w:rFonts w:ascii="宋体"/>
                <w:b/>
                <w:color w:val="000000"/>
                <w:sz w:val="20"/>
                <w:szCs w:val="20"/>
              </w:rPr>
            </w:pPr>
            <w:r>
              <w:rPr>
                <w:rFonts w:hint="eastAsia"/>
                <w:szCs w:val="21"/>
                <w:highlight w:val="none"/>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6</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jc w:val="left"/>
        <w:rPr>
          <w:rFonts w:hint="default" w:ascii="宋体" w:eastAsia="宋体"/>
          <w:b/>
          <w:color w:val="000000"/>
          <w:sz w:val="20"/>
          <w:szCs w:val="20"/>
          <w:lang w:val="en-US" w:eastAsia="zh-CN"/>
        </w:rPr>
      </w:pPr>
      <w:r>
        <w:rPr>
          <w:rFonts w:ascii="宋体" w:hAnsi="宋体"/>
          <w:b/>
          <w:color w:val="000000"/>
          <w:sz w:val="20"/>
          <w:szCs w:val="20"/>
        </w:rPr>
        <w:t>QMS:_</w:t>
      </w:r>
      <w:r>
        <w:rPr>
          <w:rFonts w:hint="eastAsia" w:ascii="宋体" w:hAnsi="宋体" w:cs="Times New Roman"/>
          <w:b/>
          <w:color w:val="000000"/>
          <w:sz w:val="20"/>
          <w:szCs w:val="20"/>
          <w:u w:val="single"/>
        </w:rPr>
        <w:t>车用液压油缸、矿山液压油缸的生产</w:t>
      </w:r>
      <w:r>
        <w:rPr>
          <w:rFonts w:hint="eastAsia" w:ascii="宋体" w:hAnsi="宋体" w:cs="Times New Roman"/>
          <w:b/>
          <w:color w:val="000000"/>
          <w:sz w:val="20"/>
          <w:szCs w:val="20"/>
          <w:u w:val="single"/>
          <w:lang w:val="en-US" w:eastAsia="zh-CN"/>
        </w:rPr>
        <w:t xml:space="preserve">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中国重汽集团南充海乐机械有限公司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800"/>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80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699"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tabs>
                <w:tab w:val="left" w:pos="430"/>
                <w:tab w:val="left" w:pos="645"/>
              </w:tabs>
              <w:spacing w:line="360" w:lineRule="exact"/>
              <w:ind w:firstLine="402" w:firstLineChars="200"/>
              <w:rPr>
                <w:rFonts w:hint="eastAsia" w:ascii="宋体" w:hAnsi="宋体" w:cs="Times New Roman"/>
                <w:b/>
                <w:bCs/>
                <w:color w:val="000000"/>
                <w:sz w:val="20"/>
                <w:szCs w:val="20"/>
                <w:lang w:val="en-US" w:eastAsia="zh-CN"/>
              </w:rPr>
            </w:pPr>
          </w:p>
        </w:tc>
        <w:tc>
          <w:tcPr>
            <w:tcW w:w="5681" w:type="dxa"/>
            <w:vAlign w:val="center"/>
          </w:tcPr>
          <w:p>
            <w:pPr>
              <w:tabs>
                <w:tab w:val="left" w:pos="430"/>
                <w:tab w:val="left" w:pos="645"/>
              </w:tabs>
              <w:spacing w:line="360" w:lineRule="exact"/>
              <w:ind w:left="283" w:leftChars="135" w:firstLine="217" w:firstLineChars="108"/>
              <w:rPr>
                <w:rFonts w:hint="eastAsia" w:ascii="宋体" w:hAnsi="宋体" w:cs="Times New Roman"/>
                <w:b/>
                <w:bCs/>
                <w:color w:val="000000"/>
                <w:sz w:val="20"/>
                <w:szCs w:val="20"/>
                <w:lang w:eastAsia="zh-CN"/>
              </w:rPr>
            </w:pPr>
          </w:p>
        </w:tc>
        <w:tc>
          <w:tcPr>
            <w:tcW w:w="1800" w:type="dxa"/>
            <w:vAlign w:val="center"/>
          </w:tcPr>
          <w:p>
            <w:pPr>
              <w:tabs>
                <w:tab w:val="left" w:pos="430"/>
                <w:tab w:val="left" w:pos="645"/>
              </w:tabs>
              <w:spacing w:line="360" w:lineRule="exact"/>
              <w:rPr>
                <w:rFonts w:hint="eastAsia" w:ascii="宋体" w:hAnsi="宋体" w:cs="Times New Roman"/>
                <w:b/>
                <w:bCs/>
                <w:color w:val="000000"/>
                <w:sz w:val="20"/>
                <w:szCs w:val="20"/>
              </w:rPr>
            </w:pPr>
          </w:p>
        </w:tc>
        <w:tc>
          <w:tcPr>
            <w:tcW w:w="1699" w:type="dxa"/>
            <w:vAlign w:val="center"/>
          </w:tcPr>
          <w:p>
            <w:pPr>
              <w:tabs>
                <w:tab w:val="left" w:pos="430"/>
                <w:tab w:val="left" w:pos="645"/>
              </w:tabs>
              <w:spacing w:line="360" w:lineRule="exact"/>
              <w:ind w:left="283" w:leftChars="135" w:firstLine="217" w:firstLineChars="108"/>
              <w:rPr>
                <w:rFonts w:hint="default" w:ascii="宋体" w:hAnsi="宋体" w:cs="Times New Roman"/>
                <w:b/>
                <w:bCs/>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bookmarkStart w:id="23" w:name="_GoBack"/>
            <w:bookmarkEnd w:id="23"/>
          </w:p>
        </w:tc>
        <w:tc>
          <w:tcPr>
            <w:tcW w:w="1800" w:type="dxa"/>
            <w:vAlign w:val="center"/>
          </w:tcPr>
          <w:p>
            <w:pPr>
              <w:pStyle w:val="4"/>
              <w:pBdr>
                <w:bottom w:val="none" w:color="auto" w:sz="0" w:space="0"/>
              </w:pBdr>
              <w:ind w:right="600"/>
              <w:jc w:val="both"/>
              <w:rPr>
                <w:color w:val="000000"/>
                <w:sz w:val="32"/>
                <w:szCs w:val="32"/>
              </w:rPr>
            </w:pPr>
          </w:p>
        </w:tc>
        <w:tc>
          <w:tcPr>
            <w:tcW w:w="1699"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800" w:type="dxa"/>
            <w:vAlign w:val="center"/>
          </w:tcPr>
          <w:p>
            <w:pPr>
              <w:pStyle w:val="4"/>
              <w:pBdr>
                <w:bottom w:val="none" w:color="auto" w:sz="0" w:space="0"/>
              </w:pBdr>
              <w:ind w:right="600"/>
              <w:jc w:val="both"/>
              <w:rPr>
                <w:color w:val="000000"/>
                <w:sz w:val="32"/>
                <w:szCs w:val="32"/>
              </w:rPr>
            </w:pPr>
          </w:p>
        </w:tc>
        <w:tc>
          <w:tcPr>
            <w:tcW w:w="1699"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800" w:type="dxa"/>
            <w:vAlign w:val="center"/>
          </w:tcPr>
          <w:p>
            <w:pPr>
              <w:pStyle w:val="4"/>
              <w:pBdr>
                <w:bottom w:val="none" w:color="auto" w:sz="0" w:space="0"/>
              </w:pBdr>
              <w:ind w:right="600"/>
              <w:jc w:val="both"/>
              <w:rPr>
                <w:color w:val="000000"/>
                <w:sz w:val="32"/>
                <w:szCs w:val="32"/>
              </w:rPr>
            </w:pPr>
          </w:p>
        </w:tc>
        <w:tc>
          <w:tcPr>
            <w:tcW w:w="1699"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800" w:type="dxa"/>
            <w:vAlign w:val="center"/>
          </w:tcPr>
          <w:p>
            <w:pPr>
              <w:pStyle w:val="4"/>
              <w:pBdr>
                <w:bottom w:val="none" w:color="auto" w:sz="0" w:space="0"/>
              </w:pBdr>
              <w:ind w:right="600"/>
              <w:jc w:val="both"/>
              <w:rPr>
                <w:color w:val="000000"/>
                <w:sz w:val="32"/>
                <w:szCs w:val="32"/>
              </w:rPr>
            </w:pPr>
          </w:p>
        </w:tc>
        <w:tc>
          <w:tcPr>
            <w:tcW w:w="1699"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6405" w:firstLineChars="29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94286"/>
    <w:rsid w:val="01930A13"/>
    <w:rsid w:val="01AD0CEC"/>
    <w:rsid w:val="03467152"/>
    <w:rsid w:val="034E4881"/>
    <w:rsid w:val="0686546D"/>
    <w:rsid w:val="090A7F64"/>
    <w:rsid w:val="0CB10C58"/>
    <w:rsid w:val="0D1C10A3"/>
    <w:rsid w:val="0DDE50F9"/>
    <w:rsid w:val="0DE666F2"/>
    <w:rsid w:val="108410BD"/>
    <w:rsid w:val="10C25EE1"/>
    <w:rsid w:val="140B4665"/>
    <w:rsid w:val="14411BC3"/>
    <w:rsid w:val="16AC560A"/>
    <w:rsid w:val="17111879"/>
    <w:rsid w:val="19BA28F1"/>
    <w:rsid w:val="1A7A04AE"/>
    <w:rsid w:val="1BBF1758"/>
    <w:rsid w:val="1D2B5C02"/>
    <w:rsid w:val="1D716D93"/>
    <w:rsid w:val="1F11440A"/>
    <w:rsid w:val="1FA01E39"/>
    <w:rsid w:val="216F48AD"/>
    <w:rsid w:val="24071B56"/>
    <w:rsid w:val="25985F55"/>
    <w:rsid w:val="26144627"/>
    <w:rsid w:val="28B33F88"/>
    <w:rsid w:val="28B90321"/>
    <w:rsid w:val="28D775A5"/>
    <w:rsid w:val="2984486E"/>
    <w:rsid w:val="29CC43A4"/>
    <w:rsid w:val="29F62601"/>
    <w:rsid w:val="2B857A30"/>
    <w:rsid w:val="2C026FC8"/>
    <w:rsid w:val="32847061"/>
    <w:rsid w:val="32B57096"/>
    <w:rsid w:val="39045161"/>
    <w:rsid w:val="3BEE69E2"/>
    <w:rsid w:val="3DB41C4E"/>
    <w:rsid w:val="3DD309B5"/>
    <w:rsid w:val="3E2B45CA"/>
    <w:rsid w:val="3E347AEF"/>
    <w:rsid w:val="3FC824C2"/>
    <w:rsid w:val="41C17BAD"/>
    <w:rsid w:val="42CD3ABB"/>
    <w:rsid w:val="4D094DD9"/>
    <w:rsid w:val="4D2A3E1B"/>
    <w:rsid w:val="4FE91636"/>
    <w:rsid w:val="57457CD7"/>
    <w:rsid w:val="57E05020"/>
    <w:rsid w:val="5802223F"/>
    <w:rsid w:val="594F6ABE"/>
    <w:rsid w:val="5A50212D"/>
    <w:rsid w:val="5B142AF4"/>
    <w:rsid w:val="5C5C16EA"/>
    <w:rsid w:val="6340159E"/>
    <w:rsid w:val="647A3203"/>
    <w:rsid w:val="64B01697"/>
    <w:rsid w:val="65654C19"/>
    <w:rsid w:val="685003AE"/>
    <w:rsid w:val="68926E7F"/>
    <w:rsid w:val="69B746FB"/>
    <w:rsid w:val="6A57437B"/>
    <w:rsid w:val="6A997777"/>
    <w:rsid w:val="6CBF4516"/>
    <w:rsid w:val="6E5D6F49"/>
    <w:rsid w:val="6FA140D1"/>
    <w:rsid w:val="70DB012E"/>
    <w:rsid w:val="72664286"/>
    <w:rsid w:val="743E7647"/>
    <w:rsid w:val="745D74C9"/>
    <w:rsid w:val="76D2198E"/>
    <w:rsid w:val="77A74A51"/>
    <w:rsid w:val="78742DF9"/>
    <w:rsid w:val="7DE15371"/>
    <w:rsid w:val="7E39403C"/>
    <w:rsid w:val="7EFF72D1"/>
    <w:rsid w:val="7FC76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link w:val="2"/>
    <w:semiHidden/>
    <w:locked/>
    <w:uiPriority w:val="99"/>
    <w:rPr>
      <w:rFonts w:ascii="Times New Roman" w:hAnsi="Times New Roman" w:eastAsia="宋体" w:cs="Times New Roman"/>
      <w:sz w:val="18"/>
      <w:szCs w:val="18"/>
    </w:rPr>
  </w:style>
  <w:style w:type="character" w:customStyle="1" w:styleId="11">
    <w:name w:val="页脚 字符"/>
    <w:link w:val="3"/>
    <w:qFormat/>
    <w:locked/>
    <w:uiPriority w:val="99"/>
    <w:rPr>
      <w:rFonts w:ascii="Times New Roman" w:hAnsi="Times New Roman" w:eastAsia="宋体" w:cs="Times New Roman"/>
      <w:sz w:val="18"/>
      <w:szCs w:val="18"/>
    </w:rPr>
  </w:style>
  <w:style w:type="character" w:customStyle="1" w:styleId="12">
    <w:name w:val="页眉 字符"/>
    <w:link w:val="4"/>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2019-09-16T09:10:17Z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