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深圳市华旭科技开发有限公司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0069-2019-2020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0069-2019-2020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深圳市华旭科技开发有限公司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余建欢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ISC-2019-0468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2024-08-12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2020年07月13日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