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4"/>
          <w:szCs w:val="24"/>
        </w:rPr>
        <w:t>0322-2020-QEO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bCs/>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sz w:val="32"/>
          <w:szCs w:val="32"/>
          <w:u w:val="single"/>
          <w:lang w:eastAsia="zh-CN"/>
        </w:rPr>
        <w:t>新疆贝斯格办公家具有限公司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1094"/>
        <w:gridCol w:w="1114"/>
        <w:gridCol w:w="1086"/>
        <w:gridCol w:w="1527"/>
        <w:gridCol w:w="726"/>
        <w:gridCol w:w="83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94"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831"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726" w:type="dxa"/>
            <w:vAlign w:val="center"/>
          </w:tcPr>
          <w:p>
            <w:pPr>
              <w:rPr>
                <w:b/>
                <w:color w:val="000000" w:themeColor="text1"/>
                <w:sz w:val="20"/>
                <w:szCs w:val="20"/>
              </w:rPr>
            </w:pPr>
            <w:r>
              <w:rPr>
                <w:rFonts w:hint="eastAsia"/>
                <w:b/>
                <w:color w:val="000000" w:themeColor="text1"/>
                <w:sz w:val="20"/>
                <w:szCs w:val="20"/>
              </w:rPr>
              <w:t>邮箱</w:t>
            </w:r>
          </w:p>
        </w:tc>
        <w:tc>
          <w:tcPr>
            <w:tcW w:w="2472"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44" w:type="dxa"/>
            <w:gridSpan w:val="2"/>
            <w:vAlign w:val="center"/>
          </w:tcPr>
          <w:p>
            <w:pPr>
              <w:spacing w:line="240" w:lineRule="exact"/>
              <w:jc w:val="both"/>
              <w:rPr>
                <w:b/>
                <w:bCs/>
                <w:color w:val="000000" w:themeColor="text1"/>
                <w:sz w:val="21"/>
                <w:szCs w:val="21"/>
              </w:rPr>
            </w:pPr>
            <w:r>
              <w:rPr>
                <w:rFonts w:hint="eastAsia"/>
                <w:b/>
                <w:bCs/>
                <w:sz w:val="21"/>
                <w:szCs w:val="21"/>
              </w:rPr>
              <w:t>姓名</w:t>
            </w:r>
          </w:p>
        </w:tc>
        <w:tc>
          <w:tcPr>
            <w:tcW w:w="1094" w:type="dxa"/>
            <w:vAlign w:val="center"/>
          </w:tcPr>
          <w:p>
            <w:pPr>
              <w:spacing w:line="240" w:lineRule="exact"/>
              <w:jc w:val="center"/>
              <w:rPr>
                <w:b/>
                <w:bCs/>
                <w:color w:val="000000" w:themeColor="text1"/>
                <w:sz w:val="21"/>
                <w:szCs w:val="21"/>
              </w:rPr>
            </w:pPr>
            <w:r>
              <w:rPr>
                <w:rFonts w:hint="eastAsia"/>
                <w:b/>
                <w:bCs/>
                <w:sz w:val="21"/>
                <w:szCs w:val="21"/>
              </w:rPr>
              <w:t>组内身份</w:t>
            </w:r>
          </w:p>
        </w:tc>
        <w:tc>
          <w:tcPr>
            <w:tcW w:w="1114" w:type="dxa"/>
            <w:vAlign w:val="center"/>
          </w:tcPr>
          <w:p>
            <w:pPr>
              <w:spacing w:line="240" w:lineRule="exact"/>
              <w:jc w:val="center"/>
              <w:rPr>
                <w:b/>
                <w:bCs/>
                <w:color w:val="000000" w:themeColor="text1"/>
                <w:sz w:val="21"/>
                <w:szCs w:val="21"/>
              </w:rPr>
            </w:pPr>
            <w:r>
              <w:rPr>
                <w:rFonts w:hint="eastAsia"/>
                <w:b/>
                <w:bCs/>
                <w:sz w:val="21"/>
                <w:szCs w:val="21"/>
              </w:rPr>
              <w:t>性别</w:t>
            </w:r>
          </w:p>
        </w:tc>
        <w:tc>
          <w:tcPr>
            <w:tcW w:w="3339" w:type="dxa"/>
            <w:gridSpan w:val="3"/>
            <w:vAlign w:val="center"/>
          </w:tcPr>
          <w:p>
            <w:pPr>
              <w:spacing w:line="240" w:lineRule="exact"/>
              <w:jc w:val="center"/>
              <w:rPr>
                <w:b/>
                <w:bCs/>
                <w:color w:val="000000" w:themeColor="text1"/>
                <w:sz w:val="21"/>
                <w:szCs w:val="21"/>
              </w:rPr>
            </w:pPr>
            <w:r>
              <w:rPr>
                <w:rFonts w:hint="eastAsia"/>
                <w:b/>
                <w:bCs/>
                <w:sz w:val="21"/>
                <w:szCs w:val="21"/>
              </w:rPr>
              <w:t>注册资格</w:t>
            </w:r>
          </w:p>
        </w:tc>
        <w:tc>
          <w:tcPr>
            <w:tcW w:w="2472" w:type="dxa"/>
            <w:gridSpan w:val="2"/>
            <w:vAlign w:val="center"/>
          </w:tcPr>
          <w:p>
            <w:pPr>
              <w:spacing w:line="240" w:lineRule="exact"/>
              <w:jc w:val="center"/>
              <w:rPr>
                <w:b/>
                <w:bCs/>
                <w:color w:val="000000" w:themeColor="text1"/>
                <w:sz w:val="21"/>
                <w:szCs w:val="21"/>
              </w:rPr>
            </w:pPr>
            <w:r>
              <w:rPr>
                <w:rFonts w:hint="eastAsia"/>
                <w:b/>
                <w:bCs/>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吉洁</w:t>
            </w:r>
          </w:p>
        </w:tc>
        <w:tc>
          <w:tcPr>
            <w:tcW w:w="1094" w:type="dxa"/>
            <w:vAlign w:val="center"/>
          </w:tcPr>
          <w:p>
            <w:pPr>
              <w:jc w:val="center"/>
              <w:rPr>
                <w:rFonts w:ascii="Times New Roman" w:hAnsi="Times New Roman" w:eastAsia="宋体" w:cs="Times New Roman"/>
                <w:kern w:val="2"/>
                <w:sz w:val="21"/>
                <w:szCs w:val="21"/>
                <w:lang w:val="en-US" w:eastAsia="zh-CN" w:bidi="ar-SA"/>
              </w:rPr>
            </w:pPr>
            <w:r>
              <w:rPr>
                <w:sz w:val="21"/>
                <w:szCs w:val="21"/>
              </w:rPr>
              <w:t>组长</w:t>
            </w:r>
          </w:p>
        </w:tc>
        <w:tc>
          <w:tcPr>
            <w:tcW w:w="1114" w:type="dxa"/>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3339" w:type="dxa"/>
            <w:gridSpan w:val="3"/>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rFonts w:ascii="Times New Roman" w:hAnsi="Times New Roman" w:eastAsia="宋体" w:cs="Times New Roman"/>
                <w:kern w:val="2"/>
                <w:sz w:val="21"/>
                <w:szCs w:val="21"/>
                <w:lang w:val="en-US" w:eastAsia="zh-CN" w:bidi="ar-SA"/>
              </w:rPr>
            </w:pPr>
            <w:r>
              <w:rPr>
                <w:sz w:val="21"/>
                <w:szCs w:val="21"/>
              </w:rPr>
              <w:t>O:审核员</w:t>
            </w:r>
          </w:p>
        </w:tc>
        <w:tc>
          <w:tcPr>
            <w:tcW w:w="2472" w:type="dxa"/>
            <w:gridSpan w:val="2"/>
            <w:vAlign w:val="center"/>
          </w:tcPr>
          <w:p>
            <w:pPr>
              <w:jc w:val="center"/>
              <w:rPr>
                <w:sz w:val="21"/>
                <w:szCs w:val="21"/>
              </w:rPr>
            </w:pPr>
            <w:r>
              <w:rPr>
                <w:sz w:val="21"/>
                <w:szCs w:val="21"/>
              </w:rPr>
              <w:t>Q:29.12.00</w:t>
            </w:r>
          </w:p>
          <w:p>
            <w:pPr>
              <w:jc w:val="center"/>
              <w:rPr>
                <w:sz w:val="21"/>
                <w:szCs w:val="21"/>
              </w:rPr>
            </w:pPr>
            <w:r>
              <w:rPr>
                <w:sz w:val="21"/>
                <w:szCs w:val="21"/>
              </w:rPr>
              <w:t>E:29.12.00</w:t>
            </w:r>
          </w:p>
          <w:p>
            <w:pPr>
              <w:jc w:val="center"/>
              <w:rPr>
                <w:rFonts w:hint="eastAsia" w:ascii="Times New Roman" w:hAnsi="Times New Roman" w:eastAsia="宋体" w:cs="Times New Roman"/>
                <w:kern w:val="2"/>
                <w:sz w:val="21"/>
                <w:szCs w:val="21"/>
                <w:lang w:val="en-US" w:eastAsia="zh-CN" w:bidi="ar-SA"/>
              </w:rPr>
            </w:pPr>
            <w:r>
              <w:rPr>
                <w:sz w:val="21"/>
                <w:szCs w:val="21"/>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张鹏</w:t>
            </w:r>
          </w:p>
        </w:tc>
        <w:tc>
          <w:tcPr>
            <w:tcW w:w="1094" w:type="dxa"/>
            <w:vAlign w:val="center"/>
          </w:tcPr>
          <w:p>
            <w:pPr>
              <w:jc w:val="center"/>
              <w:rPr>
                <w:rFonts w:hint="eastAsia" w:ascii="Times New Roman" w:hAnsi="Times New Roman" w:eastAsia="宋体" w:cs="Times New Roman"/>
                <w:kern w:val="2"/>
                <w:sz w:val="21"/>
                <w:szCs w:val="21"/>
                <w:lang w:val="en-US" w:eastAsia="zh-CN" w:bidi="ar-SA"/>
              </w:rPr>
            </w:pPr>
            <w:r>
              <w:rPr>
                <w:sz w:val="21"/>
                <w:szCs w:val="21"/>
              </w:rPr>
              <w:t>组员</w:t>
            </w:r>
          </w:p>
        </w:tc>
        <w:tc>
          <w:tcPr>
            <w:tcW w:w="1114"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男</w:t>
            </w:r>
          </w:p>
        </w:tc>
        <w:tc>
          <w:tcPr>
            <w:tcW w:w="3339" w:type="dxa"/>
            <w:gridSpan w:val="3"/>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rFonts w:hint="eastAsia" w:ascii="Times New Roman" w:hAnsi="Times New Roman" w:eastAsia="宋体" w:cs="Times New Roman"/>
                <w:kern w:val="2"/>
                <w:sz w:val="21"/>
                <w:szCs w:val="21"/>
                <w:lang w:val="en-US" w:eastAsia="zh-CN" w:bidi="ar-SA"/>
              </w:rPr>
            </w:pPr>
            <w:r>
              <w:rPr>
                <w:sz w:val="21"/>
                <w:szCs w:val="21"/>
              </w:rPr>
              <w:t>O:审核员</w:t>
            </w:r>
          </w:p>
        </w:tc>
        <w:tc>
          <w:tcPr>
            <w:tcW w:w="2472" w:type="dxa"/>
            <w:gridSpan w:val="2"/>
            <w:vAlign w:val="center"/>
          </w:tcPr>
          <w:p>
            <w:pPr>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1094" w:type="dxa"/>
            <w:vAlign w:val="center"/>
          </w:tcPr>
          <w:p>
            <w:pPr>
              <w:jc w:val="center"/>
              <w:rPr>
                <w:b/>
                <w:color w:val="000000" w:themeColor="text1"/>
                <w:sz w:val="20"/>
                <w:szCs w:val="20"/>
              </w:rPr>
            </w:pPr>
            <w:r>
              <w:rPr>
                <w:rFonts w:hint="eastAsia"/>
                <w:b/>
                <w:color w:val="000000" w:themeColor="text1"/>
                <w:sz w:val="20"/>
                <w:szCs w:val="20"/>
              </w:rPr>
              <w:t>性别</w:t>
            </w:r>
          </w:p>
        </w:tc>
        <w:tc>
          <w:tcPr>
            <w:tcW w:w="1114" w:type="dxa"/>
            <w:vAlign w:val="center"/>
          </w:tcPr>
          <w:p>
            <w:pPr>
              <w:jc w:val="center"/>
              <w:rPr>
                <w:b/>
                <w:color w:val="000000" w:themeColor="text1"/>
                <w:sz w:val="20"/>
                <w:szCs w:val="20"/>
              </w:rPr>
            </w:pPr>
            <w:r>
              <w:rPr>
                <w:rFonts w:hint="eastAsia"/>
                <w:b/>
                <w:color w:val="000000" w:themeColor="text1"/>
                <w:sz w:val="20"/>
                <w:szCs w:val="20"/>
              </w:rPr>
              <w:t>角色</w:t>
            </w:r>
          </w:p>
        </w:tc>
        <w:tc>
          <w:tcPr>
            <w:tcW w:w="3339" w:type="dxa"/>
            <w:gridSpan w:val="3"/>
            <w:vAlign w:val="center"/>
          </w:tcPr>
          <w:p>
            <w:pPr>
              <w:jc w:val="center"/>
              <w:rPr>
                <w:b/>
                <w:color w:val="000000" w:themeColor="text1"/>
                <w:sz w:val="20"/>
                <w:szCs w:val="20"/>
              </w:rPr>
            </w:pPr>
            <w:r>
              <w:rPr>
                <w:rFonts w:hint="eastAsia"/>
                <w:b/>
                <w:color w:val="000000" w:themeColor="text1"/>
                <w:sz w:val="20"/>
                <w:szCs w:val="20"/>
              </w:rPr>
              <w:t>工作单位</w:t>
            </w:r>
          </w:p>
        </w:tc>
        <w:tc>
          <w:tcPr>
            <w:tcW w:w="2472" w:type="dxa"/>
            <w:gridSpan w:val="2"/>
            <w:vAlign w:val="center"/>
          </w:tcPr>
          <w:p>
            <w:pPr>
              <w:jc w:val="cente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val="0"/>
                <w:bCs/>
                <w:color w:val="000000" w:themeColor="text1"/>
                <w:lang w:val="en-US" w:eastAsia="zh-CN"/>
              </w:rPr>
            </w:pPr>
            <w:r>
              <w:rPr>
                <w:rFonts w:hint="eastAsia"/>
                <w:b w:val="0"/>
                <w:bCs/>
                <w:color w:val="000000" w:themeColor="text1"/>
                <w:lang w:val="en-US" w:eastAsia="zh-CN"/>
              </w:rPr>
              <w:t>/</w:t>
            </w:r>
          </w:p>
        </w:tc>
        <w:tc>
          <w:tcPr>
            <w:tcW w:w="1094" w:type="dxa"/>
            <w:vAlign w:val="center"/>
          </w:tcPr>
          <w:p>
            <w:pPr>
              <w:jc w:val="center"/>
              <w:rPr>
                <w:b w:val="0"/>
                <w:bCs/>
                <w:color w:val="000000" w:themeColor="text1"/>
              </w:rPr>
            </w:pPr>
          </w:p>
        </w:tc>
        <w:tc>
          <w:tcPr>
            <w:tcW w:w="1114" w:type="dxa"/>
            <w:vAlign w:val="center"/>
          </w:tcPr>
          <w:p>
            <w:pPr>
              <w:jc w:val="center"/>
              <w:rPr>
                <w:b w:val="0"/>
                <w:bCs/>
                <w:color w:val="000000" w:themeColor="text1"/>
              </w:rPr>
            </w:pPr>
          </w:p>
        </w:tc>
        <w:tc>
          <w:tcPr>
            <w:tcW w:w="3339" w:type="dxa"/>
            <w:gridSpan w:val="3"/>
            <w:vAlign w:val="center"/>
          </w:tcPr>
          <w:p>
            <w:pPr>
              <w:rPr>
                <w:rFonts w:hint="eastAsia" w:eastAsia="宋体"/>
                <w:b w:val="0"/>
                <w:bCs/>
                <w:color w:val="000000" w:themeColor="text1"/>
                <w:lang w:eastAsia="zh-CN"/>
              </w:rPr>
            </w:pPr>
          </w:p>
        </w:tc>
        <w:tc>
          <w:tcPr>
            <w:tcW w:w="2472"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2059"/>
        <w:gridCol w:w="1080"/>
        <w:gridCol w:w="282"/>
        <w:gridCol w:w="1597"/>
        <w:gridCol w:w="396"/>
        <w:gridCol w:w="128"/>
        <w:gridCol w:w="841"/>
        <w:gridCol w:w="71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80" w:type="dxa"/>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5018" w:type="dxa"/>
            <w:gridSpan w:val="4"/>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b/>
                <w:color w:val="000000" w:themeColor="text1"/>
                <w:sz w:val="20"/>
                <w:szCs w:val="20"/>
                <w:lang w:eastAsia="zh-CN"/>
              </w:rPr>
            </w:pPr>
            <w:r>
              <w:rPr>
                <w:rFonts w:hint="eastAsia" w:ascii="宋体" w:hAnsi="宋体"/>
                <w:sz w:val="21"/>
                <w:szCs w:val="21"/>
                <w:lang w:eastAsia="zh-CN"/>
              </w:rPr>
              <w:t>新疆贝斯格办公家具有限公司</w:t>
            </w:r>
          </w:p>
        </w:tc>
        <w:tc>
          <w:tcPr>
            <w:tcW w:w="1365" w:type="dxa"/>
            <w:gridSpan w:val="3"/>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013" w:type="dxa"/>
            <w:gridSpan w:val="2"/>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48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6383" w:type="dxa"/>
            <w:gridSpan w:val="7"/>
            <w:vAlign w:val="top"/>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新疆乌鲁木齐市沙依巴克区西山兵团乌鲁木齐工业园区蔷薇一街5-4号</w:t>
            </w:r>
          </w:p>
        </w:tc>
        <w:tc>
          <w:tcPr>
            <w:tcW w:w="716" w:type="dxa"/>
            <w:vMerge w:val="restart"/>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bCs w:val="0"/>
                <w:color w:val="000000"/>
                <w:sz w:val="20"/>
                <w:szCs w:val="20"/>
              </w:rPr>
              <w:t>邮编</w:t>
            </w:r>
          </w:p>
        </w:tc>
        <w:tc>
          <w:tcPr>
            <w:tcW w:w="1297"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宋体" w:hAnsi="Times New Roman" w:eastAsia="宋体" w:cs="Times New Roman"/>
                <w:b w:val="0"/>
                <w:bCs/>
                <w:color w:val="000000"/>
                <w:kern w:val="2"/>
                <w:sz w:val="20"/>
                <w:szCs w:val="20"/>
                <w:lang w:val="en-US" w:eastAsia="zh-CN" w:bidi="ar-SA"/>
              </w:rPr>
            </w:pPr>
            <w:r>
              <w:rPr>
                <w:b w:val="0"/>
                <w:bCs/>
                <w:sz w:val="21"/>
                <w:szCs w:val="21"/>
              </w:rPr>
              <w:t>8300</w:t>
            </w:r>
            <w:r>
              <w:rPr>
                <w:rFonts w:hint="eastAsia"/>
                <w:b w:val="0"/>
                <w:bCs/>
                <w:sz w:val="21"/>
                <w:szCs w:val="21"/>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8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6383" w:type="dxa"/>
            <w:gridSpan w:val="7"/>
            <w:vAlign w:val="top"/>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Times New Roman" w:eastAsia="宋体" w:cs="Times New Roman"/>
                <w:b w:val="0"/>
                <w:bCs/>
                <w:color w:val="000000"/>
                <w:kern w:val="2"/>
                <w:sz w:val="20"/>
                <w:szCs w:val="20"/>
                <w:lang w:val="en-US" w:eastAsia="zh-CN" w:bidi="ar-SA"/>
              </w:rPr>
            </w:pPr>
            <w:r>
              <w:rPr>
                <w:rFonts w:hint="eastAsia" w:ascii="宋体"/>
                <w:b w:val="0"/>
                <w:bCs/>
                <w:color w:val="000000"/>
                <w:sz w:val="20"/>
                <w:szCs w:val="20"/>
                <w:lang w:eastAsia="zh-CN"/>
              </w:rPr>
              <w:t>新疆乌鲁木齐市水磨沟区华凌市场B楼六楼D</w:t>
            </w:r>
            <w:r>
              <w:rPr>
                <w:rFonts w:hint="eastAsia" w:ascii="宋体"/>
                <w:b w:val="0"/>
                <w:bCs/>
                <w:color w:val="000000"/>
                <w:sz w:val="20"/>
                <w:szCs w:val="20"/>
                <w:lang w:val="en-US" w:eastAsia="zh-CN"/>
              </w:rPr>
              <w:t>-</w:t>
            </w:r>
            <w:r>
              <w:rPr>
                <w:rFonts w:hint="eastAsia" w:ascii="宋体"/>
                <w:b w:val="0"/>
                <w:bCs/>
                <w:color w:val="000000"/>
                <w:sz w:val="20"/>
                <w:szCs w:val="20"/>
                <w:lang w:eastAsia="zh-CN"/>
              </w:rPr>
              <w:t>18</w:t>
            </w:r>
            <w:r>
              <w:rPr>
                <w:rFonts w:hint="eastAsia" w:ascii="宋体"/>
                <w:b w:val="0"/>
                <w:bCs/>
                <w:color w:val="000000"/>
                <w:sz w:val="20"/>
                <w:szCs w:val="20"/>
                <w:lang w:val="en-US" w:eastAsia="zh-CN"/>
              </w:rPr>
              <w:t>-</w:t>
            </w:r>
            <w:r>
              <w:rPr>
                <w:rFonts w:hint="eastAsia" w:ascii="宋体"/>
                <w:b w:val="0"/>
                <w:bCs/>
                <w:color w:val="000000"/>
                <w:sz w:val="20"/>
                <w:szCs w:val="20"/>
                <w:lang w:eastAsia="zh-CN"/>
              </w:rPr>
              <w:t>3</w:t>
            </w:r>
          </w:p>
        </w:tc>
        <w:tc>
          <w:tcPr>
            <w:tcW w:w="716" w:type="dxa"/>
            <w:vMerge w:val="continue"/>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p>
        </w:tc>
        <w:tc>
          <w:tcPr>
            <w:tcW w:w="1297" w:type="dxa"/>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宋体" w:hAnsi="Times New Roman" w:eastAsia="宋体" w:cs="Times New Roman"/>
                <w:b w:val="0"/>
                <w:bCs/>
                <w:color w:val="000000"/>
                <w:kern w:val="2"/>
                <w:sz w:val="20"/>
                <w:szCs w:val="20"/>
                <w:lang w:val="en-US" w:eastAsia="zh-CN" w:bidi="ar-SA"/>
              </w:rPr>
            </w:pPr>
            <w:r>
              <w:rPr>
                <w:b w:val="0"/>
                <w:bCs/>
                <w:sz w:val="21"/>
                <w:szCs w:val="21"/>
              </w:rPr>
              <w:t>8300</w:t>
            </w:r>
            <w:r>
              <w:rPr>
                <w:rFonts w:hint="eastAsia"/>
                <w:b w:val="0"/>
                <w:bCs/>
                <w:sz w:val="21"/>
                <w:szCs w:val="21"/>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48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2059"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Times New Roman" w:eastAsia="宋体" w:cs="Times New Roman"/>
                <w:b/>
                <w:color w:val="000000"/>
                <w:kern w:val="2"/>
                <w:sz w:val="20"/>
                <w:szCs w:val="20"/>
                <w:lang w:val="en-US" w:eastAsia="zh-CN" w:bidi="ar-SA"/>
              </w:rPr>
            </w:pPr>
            <w:r>
              <w:rPr>
                <w:b w:val="0"/>
                <w:bCs w:val="0"/>
                <w:sz w:val="21"/>
                <w:szCs w:val="21"/>
              </w:rPr>
              <w:t>赵志伟</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993"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Times New Roman" w:eastAsia="宋体" w:cs="Times New Roman"/>
                <w:b/>
                <w:color w:val="000000"/>
                <w:kern w:val="2"/>
                <w:sz w:val="20"/>
                <w:szCs w:val="20"/>
                <w:lang w:val="en-US" w:eastAsia="zh-CN" w:bidi="ar-SA"/>
              </w:rPr>
            </w:pPr>
            <w:r>
              <w:rPr>
                <w:b w:val="0"/>
                <w:bCs w:val="0"/>
                <w:sz w:val="21"/>
                <w:szCs w:val="21"/>
              </w:rPr>
              <w:t>13579981051</w:t>
            </w:r>
          </w:p>
        </w:tc>
        <w:tc>
          <w:tcPr>
            <w:tcW w:w="969"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013" w:type="dxa"/>
            <w:gridSpan w:val="2"/>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2059" w:type="dxa"/>
            <w:vAlign w:val="top"/>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Times New Roman" w:eastAsia="宋体" w:cs="Times New Roman"/>
                <w:b/>
                <w:color w:val="000000"/>
                <w:kern w:val="2"/>
                <w:sz w:val="20"/>
                <w:szCs w:val="20"/>
                <w:lang w:val="en-US" w:eastAsia="zh-CN" w:bidi="ar-SA"/>
              </w:rPr>
            </w:pPr>
            <w:r>
              <w:rPr>
                <w:b w:val="0"/>
                <w:bCs w:val="0"/>
                <w:sz w:val="21"/>
                <w:szCs w:val="21"/>
              </w:rPr>
              <w:t>赵志伟</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993" w:type="dxa"/>
            <w:gridSpan w:val="2"/>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Times New Roman" w:eastAsia="宋体" w:cs="Times New Roman"/>
                <w:b/>
                <w:color w:val="000000"/>
                <w:kern w:val="2"/>
                <w:sz w:val="20"/>
                <w:szCs w:val="20"/>
                <w:lang w:val="en-US" w:eastAsia="zh-CN" w:bidi="ar-SA"/>
              </w:rPr>
            </w:pPr>
            <w:r>
              <w:rPr>
                <w:rFonts w:hint="eastAsia"/>
                <w:b w:val="0"/>
                <w:bCs w:val="0"/>
                <w:sz w:val="21"/>
                <w:szCs w:val="21"/>
                <w:lang w:val="en-US" w:eastAsia="zh-CN"/>
              </w:rPr>
              <w:t>周玉可</w:t>
            </w:r>
          </w:p>
        </w:tc>
        <w:tc>
          <w:tcPr>
            <w:tcW w:w="969" w:type="dxa"/>
            <w:gridSpan w:val="2"/>
            <w:vAlign w:val="top"/>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013" w:type="dxa"/>
            <w:gridSpan w:val="2"/>
            <w:vAlign w:val="top"/>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Times New Roman" w:eastAsia="宋体" w:cs="Times New Roman"/>
                <w:b/>
                <w:color w:val="000000"/>
                <w:kern w:val="2"/>
                <w:sz w:val="20"/>
                <w:szCs w:val="20"/>
                <w:lang w:val="en-US" w:eastAsia="zh-CN" w:bidi="ar-SA"/>
              </w:rPr>
            </w:pPr>
            <w:r>
              <w:rPr>
                <w:rFonts w:hint="eastAsia"/>
                <w:b w:val="0"/>
                <w:bCs w:val="0"/>
                <w:sz w:val="18"/>
                <w:szCs w:val="18"/>
              </w:rPr>
              <w:t>gw006008@163.com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48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8396" w:type="dxa"/>
            <w:gridSpan w:val="9"/>
          </w:tcPr>
          <w:p>
            <w:pPr>
              <w:keepNext w:val="0"/>
              <w:keepLines w:val="0"/>
              <w:pageBreakBefore w:val="0"/>
              <w:kinsoku/>
              <w:wordWrap/>
              <w:overflowPunct/>
              <w:topLinePunct w:val="0"/>
              <w:autoSpaceDE/>
              <w:autoSpaceDN/>
              <w:bidi w:val="0"/>
              <w:adjustRightInd/>
              <w:snapToGrid/>
              <w:spacing w:line="320" w:lineRule="exact"/>
              <w:textAlignment w:val="auto"/>
              <w:rPr>
                <w:sz w:val="21"/>
                <w:szCs w:val="21"/>
              </w:rPr>
            </w:pPr>
            <w:bookmarkStart w:id="1" w:name="审核范围"/>
            <w:r>
              <w:rPr>
                <w:sz w:val="21"/>
                <w:szCs w:val="21"/>
              </w:rPr>
              <w:t>Q：</w:t>
            </w:r>
            <w:r>
              <w:rPr>
                <w:rFonts w:hint="eastAsia"/>
                <w:sz w:val="21"/>
                <w:szCs w:val="21"/>
                <w:lang w:eastAsia="zh-CN"/>
              </w:rPr>
              <w:t>金属家具、木质家具、不锈钢制品、密集架、保密柜、保险柜、文件柜</w:t>
            </w:r>
            <w:r>
              <w:rPr>
                <w:sz w:val="21"/>
                <w:szCs w:val="21"/>
              </w:rPr>
              <w:t>的销售</w:t>
            </w:r>
          </w:p>
          <w:p>
            <w:pPr>
              <w:keepNext w:val="0"/>
              <w:keepLines w:val="0"/>
              <w:pageBreakBefore w:val="0"/>
              <w:kinsoku/>
              <w:wordWrap/>
              <w:overflowPunct/>
              <w:topLinePunct w:val="0"/>
              <w:autoSpaceDE/>
              <w:autoSpaceDN/>
              <w:bidi w:val="0"/>
              <w:adjustRightInd/>
              <w:snapToGrid/>
              <w:spacing w:line="320" w:lineRule="exact"/>
              <w:textAlignment w:val="auto"/>
              <w:rPr>
                <w:sz w:val="21"/>
                <w:szCs w:val="21"/>
              </w:rPr>
            </w:pPr>
            <w:r>
              <w:rPr>
                <w:sz w:val="21"/>
                <w:szCs w:val="21"/>
              </w:rPr>
              <w:t>E：</w:t>
            </w:r>
            <w:r>
              <w:rPr>
                <w:rFonts w:hint="eastAsia"/>
                <w:sz w:val="21"/>
                <w:szCs w:val="21"/>
                <w:lang w:eastAsia="zh-CN"/>
              </w:rPr>
              <w:t>金属家具、木质家具、不锈钢制品、密集架、保密柜、保险柜、文件柜</w:t>
            </w:r>
            <w:r>
              <w:rPr>
                <w:sz w:val="21"/>
                <w:szCs w:val="21"/>
              </w:rPr>
              <w:t>的销售及相关环境管理活动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u w:val="single"/>
                <w:lang w:val="en-GB"/>
              </w:rPr>
            </w:pPr>
            <w:r>
              <w:rPr>
                <w:sz w:val="21"/>
                <w:szCs w:val="21"/>
              </w:rPr>
              <w:t>O：</w:t>
            </w:r>
            <w:r>
              <w:rPr>
                <w:rFonts w:hint="eastAsia"/>
                <w:sz w:val="21"/>
                <w:szCs w:val="21"/>
                <w:lang w:eastAsia="zh-CN"/>
              </w:rPr>
              <w:t>金属家具、木质家具、不锈钢制品、密集架、保密柜、保险柜、文件柜</w:t>
            </w:r>
            <w:r>
              <w:rPr>
                <w:sz w:val="21"/>
                <w:szCs w:val="21"/>
              </w:rPr>
              <w:t>的销售及相关职业健康安全管理活动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8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8396" w:type="dxa"/>
            <w:gridSpan w:val="9"/>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bookmarkStart w:id="2" w:name="专业代码"/>
            <w:r>
              <w:rPr>
                <w:rFonts w:ascii="宋体"/>
                <w:b/>
                <w:color w:val="000000"/>
                <w:sz w:val="20"/>
                <w:szCs w:val="20"/>
              </w:rPr>
              <w:t>Q：</w:t>
            </w:r>
            <w:r>
              <w:rPr>
                <w:sz w:val="21"/>
                <w:szCs w:val="21"/>
              </w:rPr>
              <w:t>29.12.00</w:t>
            </w:r>
            <w:r>
              <w:rPr>
                <w:rFonts w:hint="eastAsia" w:ascii="宋体"/>
                <w:b/>
                <w:color w:val="000000"/>
                <w:sz w:val="20"/>
                <w:szCs w:val="20"/>
                <w:lang w:eastAsia="zh-CN"/>
              </w:rPr>
              <w:t>；</w:t>
            </w:r>
            <w:r>
              <w:rPr>
                <w:rFonts w:ascii="宋体"/>
                <w:b/>
                <w:color w:val="000000"/>
                <w:sz w:val="20"/>
                <w:szCs w:val="20"/>
              </w:rPr>
              <w:t>E：</w:t>
            </w:r>
            <w:r>
              <w:rPr>
                <w:sz w:val="21"/>
                <w:szCs w:val="21"/>
              </w:rPr>
              <w:t>29.12.00</w:t>
            </w:r>
            <w:r>
              <w:rPr>
                <w:rFonts w:hint="eastAsia" w:ascii="宋体"/>
                <w:b/>
                <w:color w:val="000000"/>
                <w:sz w:val="20"/>
                <w:szCs w:val="20"/>
                <w:lang w:eastAsia="zh-CN"/>
              </w:rPr>
              <w:t>；</w:t>
            </w:r>
            <w:r>
              <w:rPr>
                <w:rFonts w:ascii="宋体"/>
                <w:b/>
                <w:color w:val="000000"/>
                <w:sz w:val="20"/>
                <w:szCs w:val="20"/>
              </w:rPr>
              <w:t>O：</w:t>
            </w:r>
            <w:bookmarkEnd w:id="2"/>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8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一体化审核</w:t>
            </w:r>
          </w:p>
        </w:tc>
        <w:tc>
          <w:tcPr>
            <w:tcW w:w="8396" w:type="dxa"/>
            <w:gridSpan w:val="9"/>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48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3139" w:type="dxa"/>
            <w:gridSpan w:val="2"/>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宋体" w:hAnsi="宋体" w:eastAsia="宋体"/>
                <w:b/>
                <w:color w:val="000000" w:themeColor="text1"/>
                <w:sz w:val="20"/>
                <w:szCs w:val="20"/>
                <w:lang w:val="en-US" w:eastAsia="zh-CN"/>
              </w:rPr>
            </w:pPr>
            <w:r>
              <w:rPr>
                <w:rFonts w:hint="eastAsia" w:ascii="宋体"/>
                <w:b/>
                <w:color w:val="000000"/>
                <w:sz w:val="20"/>
                <w:szCs w:val="20"/>
                <w:lang w:val="en-US" w:eastAsia="zh-CN"/>
              </w:rPr>
              <w:t>2019年10月25日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0" w:type="dxa"/>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396" w:type="dxa"/>
            <w:gridSpan w:val="9"/>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r>
        <w:rPr>
          <w:rFonts w:hint="eastAsia" w:ascii="宋体" w:hAnsi="宋体"/>
          <w:b/>
          <w:color w:val="000000" w:themeColor="text1"/>
          <w:sz w:val="26"/>
          <w:szCs w:val="26"/>
          <w:lang w:eastAsia="zh-CN"/>
        </w:rPr>
        <w:t>（</w:t>
      </w:r>
      <w:r>
        <w:rPr>
          <w:rFonts w:hint="eastAsia" w:ascii="宋体" w:hAnsi="宋体"/>
          <w:b/>
          <w:color w:val="000000" w:themeColor="text1"/>
          <w:sz w:val="26"/>
          <w:szCs w:val="26"/>
          <w:lang w:val="en-US" w:eastAsia="zh-CN"/>
        </w:rPr>
        <w:t>远程审核</w:t>
      </w:r>
      <w:r>
        <w:rPr>
          <w:rFonts w:hint="eastAsia" w:ascii="宋体" w:hAnsi="宋体"/>
          <w:b/>
          <w:color w:val="000000" w:themeColor="text1"/>
          <w:sz w:val="26"/>
          <w:szCs w:val="26"/>
          <w:lang w:eastAsia="zh-CN"/>
        </w:rPr>
        <w:t>）</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96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rPr>
              <w:t>管理层</w:t>
            </w:r>
          </w:p>
        </w:tc>
        <w:tc>
          <w:tcPr>
            <w:tcW w:w="79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b/>
                <w:color w:val="000000" w:themeColor="text1"/>
                <w:spacing w:val="-20"/>
                <w:sz w:val="20"/>
                <w:szCs w:val="20"/>
                <w:u w:val="single"/>
                <w:lang w:val="en-US" w:eastAsia="zh-CN"/>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4.1/4.2/4.3/4.4/5.1/5.2/5.3/6.1/6.2/7.1/9.1.1/9.3/10.1/10.3</w:t>
            </w:r>
            <w:r>
              <w:rPr>
                <w:rFonts w:hint="eastAsia" w:cs="Times New Roman"/>
                <w:b w:val="0"/>
                <w:bCs/>
                <w:sz w:val="21"/>
                <w:szCs w:val="21"/>
                <w:lang w:eastAsia="zh-CN"/>
              </w:rPr>
              <w:t>；</w:t>
            </w:r>
            <w:r>
              <w:rPr>
                <w:rFonts w:hint="eastAsia" w:cs="Times New Roman"/>
                <w:b w:val="0"/>
                <w:bCs/>
                <w:sz w:val="21"/>
                <w:szCs w:val="21"/>
                <w:lang w:val="en-US" w:eastAsia="zh-CN"/>
              </w:rPr>
              <w:t>Q6.3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eastAsia="zh-CN"/>
              </w:rPr>
            </w:pPr>
            <w:r>
              <w:rPr>
                <w:rFonts w:hint="eastAsia"/>
                <w:sz w:val="21"/>
                <w:szCs w:val="21"/>
                <w:lang w:val="en-US" w:eastAsia="zh-CN"/>
              </w:rPr>
              <w:t>行政部</w:t>
            </w:r>
          </w:p>
        </w:tc>
        <w:tc>
          <w:tcPr>
            <w:tcW w:w="79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cs="Times New Roman"/>
                <w:sz w:val="21"/>
                <w:szCs w:val="21"/>
                <w:lang w:eastAsia="zh-CN"/>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w:t>
            </w:r>
            <w:r>
              <w:rPr>
                <w:rFonts w:hint="eastAsia" w:ascii="Times New Roman" w:hAnsi="Times New Roman" w:cs="Times New Roman"/>
                <w:sz w:val="21"/>
                <w:szCs w:val="21"/>
                <w:lang w:val="en-US" w:eastAsia="zh-CN"/>
              </w:rPr>
              <w:t>7.1.3/</w:t>
            </w:r>
            <w:r>
              <w:rPr>
                <w:rFonts w:hint="default" w:ascii="Times New Roman" w:hAnsi="Times New Roman" w:eastAsia="宋体" w:cs="Times New Roman"/>
                <w:sz w:val="21"/>
                <w:szCs w:val="21"/>
              </w:rPr>
              <w:t>7.1.4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7.1.5/7.1.6</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7.2/7.3/7.4/7.5</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9.</w:t>
            </w:r>
            <w:r>
              <w:rPr>
                <w:rFonts w:hint="eastAsia" w:cs="Times New Roman"/>
                <w:sz w:val="21"/>
                <w:szCs w:val="21"/>
                <w:lang w:val="en-US" w:eastAsia="zh-CN"/>
              </w:rPr>
              <w:t>2</w:t>
            </w:r>
            <w:r>
              <w:rPr>
                <w:rFonts w:hint="default" w:ascii="Times New Roman" w:hAnsi="Times New Roman" w:eastAsia="宋体" w:cs="Times New Roman"/>
                <w:sz w:val="21"/>
                <w:szCs w:val="21"/>
              </w:rPr>
              <w:t>/</w:t>
            </w:r>
            <w:r>
              <w:rPr>
                <w:rFonts w:hint="eastAsia" w:cs="Times New Roman"/>
                <w:sz w:val="21"/>
                <w:szCs w:val="21"/>
                <w:lang w:val="en-US" w:eastAsia="zh-CN"/>
              </w:rPr>
              <w:t>10.2</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w:t>
            </w:r>
            <w:r>
              <w:rPr>
                <w:rFonts w:hint="eastAsia" w:cs="Times New Roman"/>
                <w:sz w:val="21"/>
                <w:szCs w:val="21"/>
                <w:lang w:val="en-US" w:eastAsia="zh-CN"/>
              </w:rPr>
              <w:t>6.1.3/</w:t>
            </w:r>
            <w:r>
              <w:rPr>
                <w:rFonts w:hint="default" w:ascii="Times New Roman" w:hAnsi="Times New Roman" w:eastAsia="宋体" w:cs="Times New Roman"/>
                <w:sz w:val="21"/>
                <w:szCs w:val="21"/>
              </w:rPr>
              <w:t>7.2/7.3/7.4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7.5/8.1/8.2/9.1/9.2/10.2</w:t>
            </w:r>
            <w:r>
              <w:rPr>
                <w:rFonts w:hint="eastAsia" w:cs="Times New Roman"/>
                <w:sz w:val="21"/>
                <w:szCs w:val="21"/>
                <w:lang w:eastAsia="zh-CN"/>
              </w:rPr>
              <w:t>；</w:t>
            </w:r>
            <w:r>
              <w:rPr>
                <w:rFonts w:hint="eastAsia" w:cs="Times New Roman"/>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sz w:val="21"/>
                <w:szCs w:val="21"/>
                <w:lang w:val="en-US" w:eastAsia="zh-CN"/>
              </w:rPr>
              <w:t>业务部</w:t>
            </w:r>
          </w:p>
        </w:tc>
        <w:tc>
          <w:tcPr>
            <w:tcW w:w="796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Q5.3/6.2/8.1/</w:t>
            </w:r>
            <w:r>
              <w:rPr>
                <w:rFonts w:hint="eastAsia" w:ascii="Times New Roman" w:hAnsi="Times New Roman" w:cs="Times New Roman"/>
                <w:sz w:val="21"/>
                <w:szCs w:val="21"/>
                <w:lang w:val="en-US" w:eastAsia="zh-CN"/>
              </w:rPr>
              <w:t>8.2/</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8.5</w:t>
            </w:r>
            <w:r>
              <w:rPr>
                <w:rFonts w:hint="eastAsia" w:cs="Times New Roman"/>
                <w:sz w:val="21"/>
                <w:szCs w:val="21"/>
                <w:lang w:val="en-US" w:eastAsia="zh-CN"/>
              </w:rPr>
              <w:t>/8.6/8.7/</w:t>
            </w:r>
            <w:r>
              <w:rPr>
                <w:rFonts w:hint="default" w:ascii="Times New Roman" w:hAnsi="Times New Roman" w:eastAsia="宋体" w:cs="Times New Roman"/>
                <w:sz w:val="21"/>
                <w:szCs w:val="21"/>
              </w:rPr>
              <w:t>9.1.2</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9911" w:type="dxa"/>
        <w:tblInd w:w="-7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7"/>
        <w:gridCol w:w="1343"/>
        <w:gridCol w:w="927"/>
        <w:gridCol w:w="4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3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9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407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val="0"/>
                <w:bCs w:val="0"/>
                <w:color w:val="000000" w:themeColor="text1"/>
                <w:sz w:val="21"/>
                <w:szCs w:val="21"/>
                <w:lang w:eastAsia="zh-CN"/>
              </w:rPr>
            </w:pPr>
            <w:r>
              <w:rPr>
                <w:rFonts w:hint="eastAsia"/>
                <w:b w:val="0"/>
                <w:bCs w:val="0"/>
                <w:sz w:val="21"/>
                <w:szCs w:val="21"/>
                <w:lang w:eastAsia="zh-CN"/>
              </w:rPr>
              <w:t>金属家具、木质家具、不锈钢制品、密集架、保密柜、保险柜、文件柜</w:t>
            </w:r>
            <w:r>
              <w:rPr>
                <w:b w:val="0"/>
                <w:bCs w:val="0"/>
                <w:sz w:val="21"/>
                <w:szCs w:val="21"/>
              </w:rPr>
              <w:t>的销售</w:t>
            </w:r>
          </w:p>
        </w:tc>
        <w:tc>
          <w:tcPr>
            <w:tcW w:w="13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销售</w:t>
            </w:r>
          </w:p>
        </w:tc>
        <w:tc>
          <w:tcPr>
            <w:tcW w:w="92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w:t>
            </w:r>
          </w:p>
        </w:tc>
        <w:tc>
          <w:tcPr>
            <w:tcW w:w="4074"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bookmarkStart w:id="3" w:name="OLE_LINK1"/>
      <w:r>
        <w:rPr>
          <w:rFonts w:hint="eastAsia"/>
          <w:b/>
          <w:color w:val="000000" w:themeColor="text1"/>
          <w:spacing w:val="-10"/>
          <w:szCs w:val="21"/>
          <w:lang w:val="en-US" w:eastAsia="zh-CN"/>
        </w:rPr>
        <w:t>25</w:t>
      </w:r>
      <w:r>
        <w:rPr>
          <w:rFonts w:hint="eastAsia"/>
          <w:b/>
          <w:color w:val="000000" w:themeColor="text1"/>
          <w:spacing w:val="-10"/>
          <w:szCs w:val="21"/>
        </w:rPr>
        <w:t>日</w:t>
      </w:r>
      <w:bookmarkEnd w:id="3"/>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CellMar>
            <w:top w:w="0" w:type="dxa"/>
            <w:left w:w="108" w:type="dxa"/>
            <w:bottom w:w="0" w:type="dxa"/>
            <w:right w:w="108" w:type="dxa"/>
          </w:tblCellMar>
        </w:tblPrEx>
        <w:trPr>
          <w:cantSplit/>
          <w:trHeight w:val="124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办公服务过程</w:t>
            </w:r>
            <w:r>
              <w:rPr>
                <w:rFonts w:hint="eastAsia"/>
              </w:rPr>
              <w:t>节能环保，对环境无重大污染、</w:t>
            </w:r>
            <w:r>
              <w:rPr>
                <w:rFonts w:hint="eastAsia"/>
                <w:lang w:val="en-US" w:eastAsia="zh-CN"/>
              </w:rPr>
              <w:t>对员工进行体检</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cs="宋体"/>
              </w:rPr>
            </w:pPr>
            <w:r>
              <w:t>1.</w:t>
            </w:r>
            <w:r>
              <w:rPr>
                <w:rFonts w:hint="eastAsia" w:cs="宋体"/>
              </w:rPr>
              <w:t>管理方针：以质量求生存、以效益促发展、以服务稳市场</w:t>
            </w:r>
          </w:p>
          <w:p>
            <w:pPr>
              <w:ind w:firstLine="1260" w:firstLineChars="600"/>
              <w:rPr>
                <w:rFonts w:hint="eastAsia" w:eastAsia="宋体"/>
                <w:lang w:val="en-US" w:eastAsia="zh-CN"/>
              </w:rPr>
            </w:pPr>
            <w:r>
              <w:rPr>
                <w:rFonts w:hint="eastAsia" w:cs="宋体"/>
              </w:rPr>
              <w:t>以人为本、预防为主；遵纪守法、持续改进；创建人与自然和谐</w:t>
            </w:r>
            <w:r>
              <w:rPr>
                <w:rFonts w:hint="eastAsia" w:cs="宋体"/>
                <w:szCs w:val="22"/>
              </w:rPr>
              <w:t>。</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如客户需求波动较大，导致供货跟不上，由</w:t>
            </w:r>
            <w:r>
              <w:rPr>
                <w:rFonts w:hint="eastAsia"/>
                <w:lang w:val="en-US" w:eastAsia="zh-CN"/>
              </w:rPr>
              <w:t>业务部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与顾客有关的过程；生产和服务提供过程；产品和服务的放行；</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u w:val="none"/>
                <w:lang w:val="en-US" w:eastAsia="zh-CN"/>
              </w:rPr>
              <w:t>销售服务</w:t>
            </w:r>
            <w:r>
              <w:rPr>
                <w:rFonts w:hint="eastAsia" w:ascii="宋体" w:hAnsi="宋体"/>
                <w:b w:val="0"/>
                <w:bCs/>
                <w:color w:val="000000" w:themeColor="text1"/>
                <w:sz w:val="20"/>
                <w:szCs w:val="20"/>
                <w:u w:val="none"/>
                <w:lang w:eastAsia="zh-CN"/>
              </w:rPr>
              <w:t>，</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lang w:val="en-US" w:eastAsia="zh-CN"/>
              </w:rPr>
              <w:t>销售服务，</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w:t>
            </w:r>
            <w:r>
              <w:rPr>
                <w:rFonts w:hint="default" w:ascii="Times New Roman" w:hAnsi="Times New Roman" w:cs="Times New Roman"/>
                <w:b w:val="0"/>
                <w:bCs/>
                <w:color w:val="000000" w:themeColor="text1"/>
                <w:sz w:val="21"/>
                <w:szCs w:val="21"/>
                <w:lang w:val="en-US" w:eastAsia="zh-CN"/>
              </w:rPr>
              <w:t>8.3</w:t>
            </w:r>
            <w:r>
              <w:rPr>
                <w:rFonts w:hint="eastAsia" w:ascii="宋体" w:hAnsi="宋体"/>
                <w:b/>
                <w:color w:val="000000" w:themeColor="text1"/>
                <w:sz w:val="20"/>
                <w:szCs w:val="20"/>
              </w:rPr>
              <w:t>，不适用理由：</w:t>
            </w:r>
            <w:r>
              <w:rPr>
                <w:rFonts w:hint="eastAsia"/>
                <w:b w:val="0"/>
                <w:bCs w:val="0"/>
                <w:sz w:val="21"/>
                <w:szCs w:val="21"/>
                <w:u w:val="none"/>
              </w:rPr>
              <w:t>公司产品和服务特点，</w:t>
            </w:r>
            <w:r>
              <w:rPr>
                <w:rFonts w:hint="eastAsia"/>
                <w:b w:val="0"/>
                <w:bCs w:val="0"/>
                <w:sz w:val="21"/>
                <w:szCs w:val="21"/>
                <w:u w:val="none"/>
                <w:lang w:eastAsia="zh-CN"/>
              </w:rPr>
              <w:t>产品依据国</w:t>
            </w:r>
            <w:r>
              <w:rPr>
                <w:rFonts w:hint="eastAsia"/>
                <w:b w:val="0"/>
                <w:bCs w:val="0"/>
                <w:sz w:val="21"/>
                <w:szCs w:val="21"/>
                <w:u w:val="none"/>
                <w:lang w:val="en-US" w:eastAsia="zh-CN"/>
              </w:rPr>
              <w:t>家法律法规</w:t>
            </w:r>
            <w:r>
              <w:rPr>
                <w:rFonts w:hint="eastAsia"/>
                <w:b w:val="0"/>
                <w:bCs w:val="0"/>
                <w:sz w:val="21"/>
                <w:szCs w:val="21"/>
                <w:u w:val="none"/>
                <w:lang w:eastAsia="zh-CN"/>
              </w:rPr>
              <w:t>、客户要求进行</w:t>
            </w:r>
            <w:r>
              <w:rPr>
                <w:rFonts w:hint="eastAsia"/>
                <w:b w:val="0"/>
                <w:bCs w:val="0"/>
                <w:sz w:val="21"/>
                <w:szCs w:val="21"/>
                <w:u w:val="none"/>
                <w:lang w:val="en-US" w:eastAsia="zh-CN"/>
              </w:rPr>
              <w:t>销售</w:t>
            </w:r>
            <w:r>
              <w:rPr>
                <w:rFonts w:hint="eastAsia"/>
                <w:b w:val="0"/>
                <w:bCs w:val="0"/>
                <w:sz w:val="21"/>
                <w:szCs w:val="21"/>
                <w:u w:val="none"/>
                <w:lang w:eastAsia="zh-CN"/>
              </w:rPr>
              <w:t>，</w:t>
            </w:r>
            <w:r>
              <w:rPr>
                <w:rFonts w:hint="eastAsia" w:ascii="Times New Roman" w:hAnsi="Times New Roman" w:cs="Times New Roman"/>
                <w:sz w:val="21"/>
                <w:szCs w:val="21"/>
                <w:lang w:val="en-US" w:eastAsia="zh-CN"/>
              </w:rPr>
              <w:t>服务流程成熟</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服务模式固定</w:t>
            </w:r>
            <w:r>
              <w:rPr>
                <w:rFonts w:hint="eastAsia"/>
                <w:b w:val="0"/>
                <w:bCs w:val="0"/>
                <w:sz w:val="21"/>
                <w:szCs w:val="21"/>
                <w:u w:val="none"/>
                <w:lang w:eastAsia="zh-CN"/>
              </w:rPr>
              <w:t>，无设计开发要求。</w:t>
            </w:r>
            <w:r>
              <w:rPr>
                <w:rFonts w:hint="eastAsia" w:ascii="宋体" w:hAnsi="宋体"/>
                <w:b w:val="0"/>
                <w:bCs w:val="0"/>
                <w:color w:val="000000" w:themeColor="text1"/>
                <w:sz w:val="20"/>
                <w:szCs w:val="20"/>
                <w:u w:val="non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8"/>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行政部组织全体部门对所涉及的环境因素进行识别，并评价出重要环境因素，提供环境因素评价记录，目前环境因素识别基本完整，评价的重要环境因素有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pacing w:val="-8"/>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行政部组织全体部门对所涉及的危险源进行识别，并评价出重大危险源，提供重大危险源评价记录，目前危险源识别基本完整，评价的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sz w:val="21"/>
                <w:szCs w:val="21"/>
              </w:rPr>
              <w:t>火灾、触电</w:t>
            </w:r>
            <w:r>
              <w:rPr>
                <w:rFonts w:hint="eastAsia"/>
                <w:sz w:val="21"/>
                <w:szCs w:val="21"/>
                <w:lang w:eastAsia="zh-CN"/>
              </w:rPr>
              <w:t>、</w:t>
            </w:r>
            <w:r>
              <w:rPr>
                <w:rFonts w:hint="eastAsia"/>
                <w:sz w:val="21"/>
                <w:szCs w:val="21"/>
                <w:lang w:val="en-US" w:eastAsia="zh-CN"/>
              </w:rPr>
              <w:t>意外伤害</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cs="宋体"/>
                <w:lang w:val="en-US" w:eastAsia="zh-CN"/>
              </w:rPr>
            </w:pPr>
            <w:r>
              <w:rPr>
                <w:rFonts w:hint="eastAsia" w:ascii="Times New Roman" w:hAnsi="Times New Roman" w:cs="宋体"/>
              </w:rPr>
              <w:t>公司</w:t>
            </w:r>
            <w:r>
              <w:rPr>
                <w:rFonts w:hint="eastAsia" w:cs="宋体"/>
                <w:lang w:val="en-US" w:eastAsia="zh-CN"/>
              </w:rPr>
              <w:t>目标：</w:t>
            </w:r>
          </w:p>
          <w:p>
            <w:r>
              <w:t>1、产品交付合格率98%以上</w:t>
            </w:r>
          </w:p>
          <w:p>
            <w:r>
              <w:t>2、顾客满意度90%以上</w:t>
            </w:r>
          </w:p>
          <w:p>
            <w:r>
              <w:t>3、火灾、触电事故为0</w:t>
            </w:r>
          </w:p>
          <w:p>
            <w:r>
              <w:t>4、产生的固体废物100%分类、收集</w:t>
            </w:r>
          </w:p>
          <w:p>
            <w:pPr>
              <w:rPr>
                <w:rFonts w:hint="eastAsia" w:ascii="Times New Roman" w:hAnsi="Times New Roman" w:cs="宋体"/>
                <w:lang w:eastAsia="zh-CN"/>
              </w:rPr>
            </w:pPr>
            <w:r>
              <w:t>5、</w:t>
            </w:r>
            <w:r>
              <w:rPr>
                <w:rFonts w:hint="eastAsia"/>
              </w:rPr>
              <w:t>重大交通责任事故发生率为0</w:t>
            </w:r>
            <w:r>
              <w:rPr>
                <w:rFonts w:hint="eastAsia" w:cs="宋体"/>
              </w:rPr>
              <w:t>。</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w:t>
            </w:r>
            <w:r>
              <w:rPr>
                <w:rFonts w:hint="eastAsia" w:cs="宋体"/>
                <w:lang w:val="en-US" w:eastAsia="zh-CN"/>
              </w:rPr>
              <w:t>查看</w:t>
            </w:r>
            <w:r>
              <w:rPr>
                <w:rFonts w:hint="eastAsia" w:ascii="Times New Roman" w:hAnsi="Times New Roman" w:cs="宋体"/>
                <w:lang w:val="en-US" w:eastAsia="zh-CN"/>
              </w:rPr>
              <w:t>20</w:t>
            </w:r>
            <w:r>
              <w:rPr>
                <w:rFonts w:hint="eastAsia" w:cs="宋体"/>
                <w:lang w:val="en-US" w:eastAsia="zh-CN"/>
              </w:rPr>
              <w:t>20</w:t>
            </w:r>
            <w:r>
              <w:rPr>
                <w:rFonts w:hint="eastAsia" w:ascii="Times New Roman" w:hAnsi="Times New Roman" w:cs="宋体"/>
                <w:lang w:val="en-US" w:eastAsia="zh-CN"/>
              </w:rPr>
              <w:t>年</w:t>
            </w:r>
            <w:r>
              <w:rPr>
                <w:rFonts w:hint="eastAsia" w:cs="宋体"/>
                <w:lang w:val="en-US" w:eastAsia="zh-CN"/>
              </w:rPr>
              <w:t>2</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行政部</w:t>
            </w:r>
            <w:r>
              <w:rPr>
                <w:rFonts w:hint="eastAsia" w:ascii="Times New Roman" w:hAnsi="Times New Roman" w:cs="宋体"/>
              </w:rPr>
              <w:t>组织编写，总经理批准发布实施，</w:t>
            </w:r>
            <w:r>
              <w:rPr>
                <w:rFonts w:hint="eastAsia" w:cs="宋体"/>
                <w:lang w:eastAsia="zh-CN"/>
              </w:rPr>
              <w:t>行政部</w:t>
            </w:r>
            <w:r>
              <w:rPr>
                <w:rFonts w:hint="eastAsia" w:ascii="Times New Roman" w:hAnsi="Times New Roman" w:cs="宋体"/>
              </w:rPr>
              <w:t>打印传阅，公司文件柜存放，电子版本在电脑桌面上，每个人均可查阅。外来文件电子版本在电脑桌面上，每个人均可查阅。记录管理：</w:t>
            </w:r>
            <w:r>
              <w:rPr>
                <w:rFonts w:hint="eastAsia" w:cs="宋体"/>
                <w:lang w:eastAsia="zh-CN"/>
              </w:rPr>
              <w:t>行政部</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行政部</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8</w:t>
            </w:r>
            <w:r>
              <w:rPr>
                <w:rFonts w:hint="eastAsia"/>
                <w:sz w:val="21"/>
                <w:szCs w:val="21"/>
              </w:rPr>
              <w:t>人，其中管理人员</w:t>
            </w:r>
            <w:r>
              <w:rPr>
                <w:rFonts w:hint="eastAsia"/>
                <w:sz w:val="21"/>
                <w:szCs w:val="21"/>
                <w:lang w:val="en-US" w:eastAsia="zh-CN"/>
              </w:rPr>
              <w:t>3</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lang w:val="en-US" w:eastAsia="zh-CN"/>
              </w:rPr>
              <w:t>电脑、一体机、电话等办公设备</w:t>
            </w:r>
            <w:r>
              <w:rPr>
                <w:rFonts w:hint="eastAsia"/>
                <w:sz w:val="21"/>
                <w:szCs w:val="21"/>
              </w:rPr>
              <w:t>，满足</w:t>
            </w:r>
            <w:r>
              <w:rPr>
                <w:rFonts w:hint="eastAsia"/>
                <w:sz w:val="21"/>
                <w:szCs w:val="21"/>
                <w:lang w:val="en-US" w:eastAsia="zh-CN"/>
              </w:rPr>
              <w:t>销售</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bookmarkStart w:id="4" w:name="生产地址"/>
            <w:r>
              <w:rPr>
                <w:rFonts w:asciiTheme="minorEastAsia" w:hAnsiTheme="minorEastAsia" w:eastAsiaTheme="minorEastAsia"/>
                <w:b w:val="0"/>
                <w:bCs w:val="0"/>
                <w:sz w:val="21"/>
                <w:szCs w:val="21"/>
              </w:rPr>
              <w:t>新疆</w:t>
            </w:r>
            <w:bookmarkEnd w:id="4"/>
            <w:r>
              <w:rPr>
                <w:rFonts w:asciiTheme="minorEastAsia" w:hAnsiTheme="minorEastAsia" w:eastAsiaTheme="minorEastAsia"/>
                <w:b w:val="0"/>
                <w:bCs w:val="0"/>
                <w:sz w:val="21"/>
                <w:szCs w:val="21"/>
              </w:rPr>
              <w:t>乌鲁木齐市水磨沟区华凌市场B楼六楼D</w:t>
            </w:r>
            <w:r>
              <w:rPr>
                <w:rFonts w:hint="eastAsia" w:asciiTheme="minorEastAsia" w:hAnsiTheme="minorEastAsia" w:eastAsiaTheme="minorEastAsia"/>
                <w:b w:val="0"/>
                <w:bCs w:val="0"/>
                <w:sz w:val="21"/>
                <w:szCs w:val="21"/>
                <w:lang w:val="en-US" w:eastAsia="zh-CN"/>
              </w:rPr>
              <w:t>-</w:t>
            </w:r>
            <w:r>
              <w:rPr>
                <w:rFonts w:asciiTheme="minorEastAsia" w:hAnsiTheme="minorEastAsia" w:eastAsiaTheme="minorEastAsia"/>
                <w:b w:val="0"/>
                <w:bCs w:val="0"/>
                <w:sz w:val="21"/>
                <w:szCs w:val="21"/>
              </w:rPr>
              <w:t>18</w:t>
            </w:r>
            <w:r>
              <w:rPr>
                <w:rFonts w:hint="eastAsia" w:asciiTheme="minorEastAsia" w:hAnsiTheme="minorEastAsia" w:eastAsiaTheme="minorEastAsia"/>
                <w:b w:val="0"/>
                <w:bCs w:val="0"/>
                <w:sz w:val="21"/>
                <w:szCs w:val="21"/>
                <w:lang w:val="en-US" w:eastAsia="zh-CN"/>
              </w:rPr>
              <w:t>-</w:t>
            </w:r>
            <w:r>
              <w:rPr>
                <w:rFonts w:asciiTheme="minorEastAsia" w:hAnsiTheme="minorEastAsia" w:eastAsiaTheme="minorEastAsia"/>
                <w:b w:val="0"/>
                <w:bCs w:val="0"/>
                <w:sz w:val="21"/>
                <w:szCs w:val="21"/>
              </w:rPr>
              <w:t>3</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sz w:val="21"/>
                <w:szCs w:val="21"/>
                <w:lang w:eastAsia="zh-CN"/>
              </w:rPr>
              <w:t>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w:t>
            </w:r>
            <w:r>
              <w:rPr>
                <w:rFonts w:hint="eastAsia"/>
              </w:rPr>
              <w:t>产品质量法、合同法、</w:t>
            </w:r>
            <w:r>
              <w:rPr>
                <w:rFonts w:hint="eastAsia"/>
                <w:lang w:eastAsia="zh-CN"/>
              </w:rPr>
              <w:t>标准化法、招标投标</w:t>
            </w:r>
            <w:r>
              <w:rPr>
                <w:rFonts w:hint="eastAsia"/>
              </w:rPr>
              <w:t>法</w:t>
            </w:r>
            <w:r>
              <w:rPr>
                <w:rFonts w:hint="eastAsia"/>
                <w:lang w:eastAsia="zh-CN"/>
              </w:rPr>
              <w:t>、</w:t>
            </w:r>
            <w:r>
              <w:rPr>
                <w:rFonts w:hint="eastAsia"/>
                <w:lang w:val="en-US" w:eastAsia="zh-CN"/>
              </w:rPr>
              <w:t>劳动法、</w:t>
            </w:r>
            <w:r>
              <w:rPr>
                <w:rFonts w:hint="eastAsia"/>
                <w:color w:val="auto"/>
                <w:lang w:eastAsia="zh-CN"/>
              </w:rPr>
              <w:t>劳动合同法、</w:t>
            </w:r>
            <w:r>
              <w:rPr>
                <w:rFonts w:hint="eastAsia"/>
              </w:rPr>
              <w:t>环境保护法</w:t>
            </w:r>
            <w:r>
              <w:rPr>
                <w:rFonts w:hint="eastAsia"/>
                <w:lang w:eastAsia="zh-CN"/>
              </w:rPr>
              <w:t>、</w:t>
            </w:r>
            <w:r>
              <w:rPr>
                <w:rFonts w:hint="eastAsia"/>
              </w:rPr>
              <w:t>消防法、固体废弃物环境防治法</w:t>
            </w:r>
            <w:r>
              <w:rPr>
                <w:rFonts w:hint="eastAsia"/>
                <w:color w:val="auto"/>
                <w:lang w:eastAsia="zh-CN"/>
              </w:rPr>
              <w:t>、工伤保险条例</w:t>
            </w:r>
            <w:r>
              <w:rPr>
                <w:rFonts w:hint="eastAsia"/>
              </w:rPr>
              <w:t>、劳动保护用品管理规定、GB/T 19000-2016《质量管理体系 基础和术语》、GB/T19001-2016《质量管理体系 要求》、GB/T24001-2016《环境管理体系 要求及使用指南》、</w:t>
            </w:r>
            <w:r>
              <w:rPr>
                <w:rFonts w:hint="eastAsia"/>
                <w:lang w:val="en-US" w:eastAsia="zh-CN"/>
              </w:rPr>
              <w:t>GB/T</w:t>
            </w:r>
            <w:r>
              <w:rPr>
                <w:rFonts w:hint="eastAsia"/>
              </w:rPr>
              <w:t>45001</w:t>
            </w:r>
            <w:r>
              <w:rPr>
                <w:rFonts w:hint="eastAsia"/>
                <w:lang w:val="en-US" w:eastAsia="zh-CN"/>
              </w:rPr>
              <w:t>-2020</w:t>
            </w:r>
            <w:r>
              <w:rPr>
                <w:rFonts w:hint="eastAsia"/>
              </w:rPr>
              <w:t>职业健康安全管理体系 要求及使用指南》</w:t>
            </w:r>
            <w:r>
              <w:rPr>
                <w:rFonts w:hint="eastAsia"/>
                <w:sz w:val="21"/>
                <w:szCs w:val="21"/>
              </w:rPr>
              <w:t>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rPr>
                <w:rFonts w:hint="eastAsia" w:cs="宋体"/>
              </w:rPr>
            </w:pPr>
            <w:r>
              <w:rPr>
                <w:rFonts w:hint="eastAsia" w:cs="宋体"/>
              </w:rPr>
              <w:t>管理方针：以质量求生存、以效益促发展、以服务稳市场</w:t>
            </w:r>
          </w:p>
          <w:p>
            <w:pPr>
              <w:keepNext w:val="0"/>
              <w:keepLines w:val="0"/>
              <w:pageBreakBefore w:val="0"/>
              <w:kinsoku/>
              <w:wordWrap/>
              <w:overflowPunct/>
              <w:topLinePunct w:val="0"/>
              <w:bidi w:val="0"/>
              <w:snapToGrid/>
              <w:spacing w:line="360" w:lineRule="exact"/>
              <w:textAlignment w:val="auto"/>
              <w:rPr>
                <w:rFonts w:hint="eastAsia" w:eastAsia="宋体"/>
                <w:lang w:eastAsia="zh-CN"/>
              </w:rPr>
            </w:pPr>
            <w:r>
              <w:rPr>
                <w:rFonts w:hint="eastAsia" w:cs="宋体"/>
              </w:rPr>
              <w:t>以人为本、预防为主；遵纪守法、持续改进；创建人与自然和谐</w:t>
            </w:r>
            <w:r>
              <w:rPr>
                <w:rFonts w:hint="eastAsia" w:cs="宋体"/>
                <w:szCs w:val="22"/>
              </w:rPr>
              <w:t>。</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w:t>
            </w:r>
          </w:p>
          <w:p>
            <w:pPr>
              <w:keepNext w:val="0"/>
              <w:keepLines w:val="0"/>
              <w:pageBreakBefore w:val="0"/>
              <w:kinsoku/>
              <w:wordWrap/>
              <w:overflowPunct/>
              <w:topLinePunct w:val="0"/>
              <w:bidi w:val="0"/>
              <w:snapToGrid/>
              <w:spacing w:line="360" w:lineRule="exact"/>
              <w:ind w:left="188" w:leftChars="42" w:hanging="100" w:hangingChars="50"/>
              <w:textAlignment w:val="auto"/>
              <w:rPr>
                <w:b/>
                <w:color w:val="000000" w:themeColor="text1"/>
                <w:sz w:val="20"/>
                <w:szCs w:val="20"/>
              </w:rPr>
            </w:pPr>
            <w:r>
              <w:rPr>
                <w:rFonts w:hint="eastAsia"/>
                <w:b/>
                <w:color w:val="000000" w:themeColor="text1"/>
                <w:sz w:val="20"/>
                <w:szCs w:val="20"/>
              </w:rPr>
              <w:t>(包括对QMS关键工序(过程)、特殊过程控制</w:t>
            </w:r>
            <w:r>
              <w:rPr>
                <w:rFonts w:hint="eastAsia"/>
                <w:b/>
                <w:color w:val="000000" w:themeColor="text1"/>
                <w:sz w:val="20"/>
                <w:szCs w:val="20"/>
                <w:lang w:eastAsia="zh-CN"/>
              </w:rPr>
              <w:t>；</w:t>
            </w:r>
            <w:r>
              <w:rPr>
                <w:rFonts w:hint="eastAsia"/>
                <w:b/>
                <w:color w:val="000000" w:themeColor="text1"/>
                <w:sz w:val="20"/>
                <w:szCs w:val="20"/>
              </w:rPr>
              <w:t>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w:t>
            </w:r>
            <w:r>
              <w:rPr>
                <w:rFonts w:hint="eastAsia"/>
                <w:sz w:val="21"/>
                <w:szCs w:val="21"/>
                <w:lang w:val="en-US" w:eastAsia="zh-CN"/>
              </w:rPr>
              <w:t>与顾客有关过程的控制</w:t>
            </w:r>
            <w:r>
              <w:rPr>
                <w:rFonts w:hint="eastAsia"/>
                <w:sz w:val="21"/>
                <w:szCs w:val="21"/>
              </w:rPr>
              <w:t>：主要根据顾客提出的产品</w:t>
            </w:r>
            <w:r>
              <w:rPr>
                <w:rFonts w:hint="eastAsia"/>
                <w:sz w:val="21"/>
                <w:szCs w:val="21"/>
                <w:lang w:val="en-US" w:eastAsia="zh-CN"/>
              </w:rPr>
              <w:t>和服务</w:t>
            </w:r>
            <w:r>
              <w:rPr>
                <w:rFonts w:hint="eastAsia"/>
                <w:sz w:val="21"/>
                <w:szCs w:val="21"/>
              </w:rPr>
              <w:t>要求/标书中明示要求等进行控制，要求进行合同评审确保能满足客户需求，</w:t>
            </w:r>
            <w:r>
              <w:rPr>
                <w:rFonts w:hint="eastAsia" w:ascii="宋体" w:hAnsi="宋体"/>
                <w:color w:val="auto"/>
                <w:kern w:val="2"/>
                <w:sz w:val="21"/>
                <w:szCs w:val="21"/>
                <w:lang w:eastAsia="zh-CN" w:bidi="ar-SA"/>
              </w:rPr>
              <w:t>在签订正式合同前，由</w:t>
            </w:r>
            <w:r>
              <w:rPr>
                <w:rFonts w:hint="eastAsia" w:ascii="宋体" w:hAnsi="宋体"/>
                <w:color w:val="auto"/>
                <w:kern w:val="2"/>
                <w:sz w:val="21"/>
                <w:szCs w:val="21"/>
                <w:lang w:val="en-US" w:eastAsia="zh-CN" w:bidi="ar-SA"/>
              </w:rPr>
              <w:t>业务部</w:t>
            </w:r>
            <w:r>
              <w:rPr>
                <w:rFonts w:hint="eastAsia" w:ascii="宋体" w:hAnsi="宋体"/>
                <w:color w:val="auto"/>
                <w:kern w:val="2"/>
                <w:sz w:val="21"/>
                <w:szCs w:val="21"/>
                <w:lang w:eastAsia="zh-CN" w:bidi="ar-SA"/>
              </w:rPr>
              <w:t>组织进行合同评审，</w:t>
            </w:r>
            <w:r>
              <w:rPr>
                <w:rFonts w:hint="eastAsia" w:ascii="宋体" w:hAnsi="宋体"/>
                <w:color w:val="auto"/>
                <w:kern w:val="2"/>
                <w:sz w:val="21"/>
                <w:szCs w:val="21"/>
                <w:lang w:val="en-US" w:eastAsia="zh-CN" w:bidi="ar-SA"/>
              </w:rPr>
              <w:t>目前控制情况符合要求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w:t>
            </w:r>
            <w:r>
              <w:rPr>
                <w:rFonts w:hint="eastAsia"/>
                <w:sz w:val="21"/>
                <w:szCs w:val="21"/>
                <w:lang w:val="en-US" w:eastAsia="zh-CN"/>
              </w:rPr>
              <w:t>主要采购</w:t>
            </w:r>
            <w:r>
              <w:rPr>
                <w:rFonts w:hint="eastAsia"/>
                <w:b w:val="0"/>
                <w:bCs w:val="0"/>
                <w:sz w:val="21"/>
                <w:szCs w:val="21"/>
                <w:lang w:eastAsia="zh-CN"/>
              </w:rPr>
              <w:t>金属家具、木质家具、不锈钢制品、密集架、保密柜、保险柜、文件柜</w:t>
            </w:r>
            <w:r>
              <w:rPr>
                <w:rFonts w:hint="eastAsia"/>
                <w:sz w:val="21"/>
                <w:szCs w:val="21"/>
                <w:lang w:val="en-US" w:eastAsia="zh-CN"/>
              </w:rPr>
              <w:t>，</w:t>
            </w:r>
            <w:r>
              <w:rPr>
                <w:rFonts w:hint="eastAsia"/>
                <w:sz w:val="21"/>
                <w:szCs w:val="21"/>
              </w:rPr>
              <w:t>编制采购产品验收规范等作业文件规定采购产品质量要求；其次对供方进行了评价，</w:t>
            </w:r>
            <w:r>
              <w:rPr>
                <w:rFonts w:hint="eastAsia"/>
                <w:sz w:val="21"/>
                <w:szCs w:val="21"/>
                <w:lang w:val="en-US" w:eastAsia="zh-CN"/>
              </w:rPr>
              <w:t>未提供对外包方进行评价的证据</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sz w:val="21"/>
                <w:szCs w:val="21"/>
                <w:lang w:val="en-US" w:eastAsia="zh-CN"/>
              </w:rPr>
              <w:t>的控制</w:t>
            </w:r>
            <w:r>
              <w:rPr>
                <w:rFonts w:hint="eastAsia"/>
                <w:sz w:val="21"/>
                <w:szCs w:val="21"/>
              </w:rPr>
              <w:t>：</w:t>
            </w:r>
            <w:r>
              <w:rPr>
                <w:rFonts w:hint="eastAsia" w:ascii="宋体" w:hAnsi="宋体"/>
                <w:sz w:val="21"/>
                <w:szCs w:val="21"/>
                <w:lang w:val="en-US" w:eastAsia="zh-CN"/>
              </w:rPr>
              <w:t>根据国家法律法规要求、顾客要求，编制了《</w:t>
            </w:r>
            <w:r>
              <w:rPr>
                <w:rFonts w:hint="eastAsia" w:ascii="宋体" w:hAnsi="宋体"/>
                <w:color w:val="000000"/>
                <w:szCs w:val="21"/>
              </w:rPr>
              <w:t>与顾客有关的过程控制程序</w:t>
            </w:r>
            <w:r>
              <w:rPr>
                <w:rFonts w:hint="eastAsia" w:ascii="宋体" w:hAnsi="宋体"/>
                <w:sz w:val="21"/>
                <w:szCs w:val="21"/>
                <w:lang w:val="en-US" w:eastAsia="zh-CN"/>
              </w:rPr>
              <w:t>》、《</w:t>
            </w:r>
            <w:r>
              <w:rPr>
                <w:rFonts w:hint="eastAsia" w:ascii="宋体" w:hAnsi="宋体"/>
                <w:color w:val="000000"/>
                <w:szCs w:val="21"/>
              </w:rPr>
              <w:t>服务过程控制程序</w:t>
            </w:r>
            <w:r>
              <w:rPr>
                <w:rFonts w:hint="eastAsia" w:ascii="宋体" w:hAnsi="宋体"/>
                <w:sz w:val="21"/>
                <w:szCs w:val="21"/>
                <w:lang w:val="en-US" w:eastAsia="zh-CN"/>
              </w:rPr>
              <w:t>》、《</w:t>
            </w:r>
            <w:r>
              <w:rPr>
                <w:rFonts w:hint="eastAsia" w:ascii="宋体" w:hAnsi="宋体"/>
                <w:color w:val="000000"/>
                <w:spacing w:val="4"/>
                <w:szCs w:val="21"/>
              </w:rPr>
              <w:t>顾客满意管理程序</w:t>
            </w:r>
            <w:r>
              <w:rPr>
                <w:rFonts w:hint="eastAsia" w:ascii="宋体" w:hAnsi="宋体"/>
                <w:color w:val="000000"/>
                <w:spacing w:val="4"/>
                <w:szCs w:val="21"/>
                <w:lang w:eastAsia="zh-CN"/>
              </w:rPr>
              <w:t>》</w:t>
            </w:r>
            <w:r>
              <w:rPr>
                <w:rFonts w:hint="eastAsia" w:ascii="宋体" w:hAnsi="宋体"/>
                <w:sz w:val="21"/>
                <w:szCs w:val="21"/>
                <w:lang w:val="en-US" w:eastAsia="zh-CN"/>
              </w:rPr>
              <w:t>《</w:t>
            </w:r>
            <w:r>
              <w:rPr>
                <w:rFonts w:hint="eastAsia"/>
                <w:sz w:val="21"/>
                <w:szCs w:val="21"/>
              </w:rPr>
              <w:t>各部门岗位职责和工作标准</w:t>
            </w:r>
            <w:r>
              <w:rPr>
                <w:rFonts w:hint="eastAsia"/>
                <w:sz w:val="21"/>
                <w:szCs w:val="21"/>
                <w:lang w:eastAsia="zh-CN"/>
              </w:rPr>
              <w:t>》、《</w:t>
            </w:r>
            <w:r>
              <w:rPr>
                <w:rFonts w:hint="eastAsia"/>
                <w:sz w:val="21"/>
                <w:szCs w:val="21"/>
                <w:lang w:val="en-US" w:eastAsia="zh-CN"/>
              </w:rPr>
              <w:t>回款制度》，由项目负责人组织人员、物资等资源进行销售服务，</w:t>
            </w:r>
            <w:r>
              <w:rPr>
                <w:rFonts w:hint="eastAsia" w:ascii="宋体" w:hAnsi="宋体"/>
                <w:sz w:val="21"/>
                <w:szCs w:val="21"/>
              </w:rPr>
              <w:t>通过</w:t>
            </w:r>
            <w:r>
              <w:rPr>
                <w:rFonts w:hint="eastAsia" w:ascii="宋体" w:hAnsi="宋体"/>
                <w:sz w:val="21"/>
                <w:szCs w:val="21"/>
                <w:lang w:val="en-US" w:eastAsia="zh-CN"/>
              </w:rPr>
              <w:t>服务流程</w:t>
            </w:r>
            <w:r>
              <w:rPr>
                <w:rFonts w:hint="eastAsia" w:ascii="宋体" w:hAnsi="宋体"/>
                <w:sz w:val="21"/>
                <w:szCs w:val="21"/>
              </w:rPr>
              <w:t>表</w:t>
            </w:r>
            <w:r>
              <w:rPr>
                <w:rFonts w:hint="eastAsia" w:ascii="宋体" w:hAnsi="宋体"/>
                <w:sz w:val="21"/>
                <w:szCs w:val="21"/>
                <w:lang w:val="en-US" w:eastAsia="zh-CN"/>
              </w:rPr>
              <w:t>进行跟踪</w:t>
            </w:r>
            <w:r>
              <w:rPr>
                <w:rFonts w:hint="eastAsia" w:ascii="宋体" w:hAnsi="宋体"/>
                <w:sz w:val="21"/>
                <w:szCs w:val="21"/>
              </w:rPr>
              <w:t>，</w:t>
            </w:r>
            <w:r>
              <w:rPr>
                <w:rFonts w:hint="eastAsia" w:ascii="宋体" w:hAnsi="宋体"/>
                <w:sz w:val="21"/>
                <w:szCs w:val="21"/>
                <w:lang w:val="en-US" w:eastAsia="zh-CN"/>
              </w:rPr>
              <w:t>评审完成情况、服务</w:t>
            </w:r>
            <w:r>
              <w:rPr>
                <w:rFonts w:hint="eastAsia" w:ascii="宋体" w:hAnsi="宋体"/>
                <w:sz w:val="21"/>
                <w:szCs w:val="21"/>
              </w:rPr>
              <w:t>质量等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w:t>
            </w:r>
            <w:r>
              <w:rPr>
                <w:rFonts w:hint="eastAsia"/>
                <w:sz w:val="21"/>
                <w:szCs w:val="21"/>
                <w:lang w:val="en-US" w:eastAsia="zh-CN"/>
              </w:rPr>
              <w:t>产品和服务的放行</w:t>
            </w:r>
            <w:r>
              <w:rPr>
                <w:rFonts w:hint="eastAsia"/>
                <w:sz w:val="21"/>
                <w:szCs w:val="21"/>
              </w:rPr>
              <w:t>：</w:t>
            </w:r>
            <w:r>
              <w:rPr>
                <w:rFonts w:hint="eastAsia"/>
                <w:sz w:val="21"/>
                <w:szCs w:val="21"/>
                <w:lang w:val="en-US" w:eastAsia="zh-CN"/>
              </w:rPr>
              <w:t>根据顾客要求进行服务，提供服务后由顾客确认，并部门主管对服务质量进行检查</w:t>
            </w:r>
            <w:r>
              <w:rPr>
                <w:rFonts w:hint="eastAsia" w:ascii="宋体" w:cs="宋体"/>
                <w:sz w:val="21"/>
                <w:szCs w:val="21"/>
              </w:rPr>
              <w:t>。</w:t>
            </w:r>
            <w:r>
              <w:rPr>
                <w:rFonts w:hint="eastAsia"/>
                <w:sz w:val="21"/>
                <w:szCs w:val="21"/>
              </w:rPr>
              <w:t>收集顾客的反馈信息，开展顾客满意度调查，包括顾客抱怨和投诉，体系建立以来未发生顾客投诉事件。</w:t>
            </w:r>
          </w:p>
          <w:p>
            <w:pPr>
              <w:pStyle w:val="17"/>
              <w:keepNext w:val="0"/>
              <w:keepLines w:val="0"/>
              <w:pageBreakBefore w:val="0"/>
              <w:widowControl w:val="0"/>
              <w:kinsoku/>
              <w:wordWrap/>
              <w:overflowPunct/>
              <w:topLinePunct w:val="0"/>
              <w:autoSpaceDE w:val="0"/>
              <w:autoSpaceDN w:val="0"/>
              <w:bidi w:val="0"/>
              <w:adjustRightInd w:val="0"/>
              <w:snapToGrid/>
              <w:spacing w:line="360" w:lineRule="exact"/>
              <w:ind w:right="0" w:rightChars="0"/>
              <w:textAlignment w:val="auto"/>
              <w:outlineLvl w:val="9"/>
              <w:rPr>
                <w:rFonts w:hint="eastAsia" w:eastAsia="宋体"/>
                <w:b/>
                <w:color w:val="000000" w:themeColor="text1"/>
                <w:sz w:val="20"/>
                <w:szCs w:val="20"/>
                <w:lang w:eastAsia="zh-CN"/>
              </w:rPr>
            </w:pPr>
            <w:r>
              <w:rPr>
                <w:rFonts w:hint="eastAsia"/>
                <w:sz w:val="21"/>
                <w:szCs w:val="21"/>
              </w:rPr>
              <w:t>5.变更的控制：</w:t>
            </w:r>
            <w:r>
              <w:rPr>
                <w:rFonts w:hint="eastAsia"/>
                <w:sz w:val="21"/>
                <w:szCs w:val="21"/>
                <w:lang w:val="en-US" w:eastAsia="zh-CN"/>
              </w:rPr>
              <w:t>销售</w:t>
            </w:r>
            <w:r>
              <w:rPr>
                <w:rFonts w:hint="eastAsia"/>
                <w:sz w:val="21"/>
                <w:szCs w:val="21"/>
              </w:rPr>
              <w:t>合同</w:t>
            </w:r>
            <w:r>
              <w:rPr>
                <w:rFonts w:hint="eastAsia"/>
                <w:sz w:val="21"/>
                <w:szCs w:val="21"/>
                <w:lang w:val="en-US" w:eastAsia="zh-CN"/>
              </w:rPr>
              <w:t>/协议</w:t>
            </w:r>
            <w:r>
              <w:rPr>
                <w:rFonts w:hint="eastAsia"/>
                <w:sz w:val="21"/>
                <w:szCs w:val="21"/>
              </w:rPr>
              <w:t>评审后，按合同要求进行</w:t>
            </w:r>
            <w:r>
              <w:rPr>
                <w:rFonts w:hint="eastAsia"/>
                <w:sz w:val="21"/>
                <w:szCs w:val="21"/>
                <w:lang w:val="en-US" w:eastAsia="zh-CN"/>
              </w:rPr>
              <w:t>采购、配送</w:t>
            </w:r>
            <w:r>
              <w:rPr>
                <w:rFonts w:hint="eastAsia"/>
                <w:sz w:val="21"/>
                <w:szCs w:val="21"/>
              </w:rPr>
              <w:t>并交付，如发现标的物与顾客要求不一致的，与客户商量，重新签订合同，交货期延期的，与顾客商量，得到顾客确认后，再及时</w:t>
            </w:r>
            <w:r>
              <w:rPr>
                <w:rFonts w:hint="eastAsia"/>
                <w:sz w:val="21"/>
                <w:szCs w:val="21"/>
                <w:lang w:val="en-US" w:eastAsia="zh-CN"/>
              </w:rPr>
              <w:t>调整</w:t>
            </w:r>
            <w:r>
              <w:rPr>
                <w:rFonts w:hint="eastAsia"/>
                <w:sz w:val="21"/>
                <w:szCs w:val="21"/>
              </w:rPr>
              <w:t>，并对延期的原因进行分析，避免下次再发生，经了解，目前没有发生对生产和服务提供的更改的情况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4"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主要满足客户要求，目前向顾客提供的服务均符合要求，提供有客户验收证明。</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01" w:firstLineChars="100"/>
              <w:textAlignment w:val="auto"/>
              <w:rPr>
                <w:rFonts w:hint="default"/>
                <w:b/>
                <w:color w:val="000000" w:themeColor="text1"/>
                <w:sz w:val="20"/>
                <w:szCs w:val="20"/>
                <w:lang w:val="en-US" w:eastAsia="zh-CN"/>
              </w:rPr>
            </w:pPr>
            <w:r>
              <w:rPr>
                <w:rFonts w:hint="eastAsia"/>
                <w:b/>
                <w:color w:val="000000" w:themeColor="text1"/>
                <w:sz w:val="20"/>
                <w:szCs w:val="20"/>
                <w:lang w:val="en-US" w:eastAsia="zh-CN"/>
              </w:rPr>
              <w:t>无</w:t>
            </w:r>
          </w:p>
          <w:p>
            <w:pPr>
              <w:keepNext w:val="0"/>
              <w:keepLines w:val="0"/>
              <w:pageBreakBefore w:val="0"/>
              <w:kinsoku/>
              <w:wordWrap/>
              <w:overflowPunct/>
              <w:topLinePunct w:val="0"/>
              <w:bidi w:val="0"/>
              <w:snapToGrid/>
              <w:spacing w:line="36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ascii="宋体" w:hAnsi="宋体"/>
                <w:color w:val="000000"/>
                <w:szCs w:val="21"/>
              </w:rPr>
              <w:t>环境因素识别与评价控制程序</w:t>
            </w:r>
            <w:r>
              <w:rPr>
                <w:rFonts w:hint="eastAsia" w:ascii="宋体" w:hAnsi="宋体"/>
                <w:color w:val="000000"/>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ascii="宋体" w:hAnsi="宋体"/>
                <w:color w:val="000000"/>
                <w:szCs w:val="21"/>
              </w:rPr>
              <w:t>废弃物控制程序</w:t>
            </w:r>
            <w:r>
              <w:rPr>
                <w:rFonts w:hint="eastAsia" w:ascii="宋体" w:hAnsi="宋体"/>
                <w:color w:val="000000"/>
                <w:szCs w:val="21"/>
                <w:lang w:eastAsia="zh-CN"/>
              </w:rPr>
              <w:t>、</w:t>
            </w:r>
            <w:r>
              <w:rPr>
                <w:rFonts w:hint="eastAsia" w:ascii="宋体" w:hAnsi="宋体"/>
                <w:color w:val="000000"/>
                <w:spacing w:val="4"/>
                <w:szCs w:val="21"/>
              </w:rPr>
              <w:t>节能降耗控制程序</w:t>
            </w:r>
            <w:r>
              <w:rPr>
                <w:rFonts w:hint="eastAsia" w:ascii="宋体" w:hAnsi="宋体"/>
                <w:color w:val="000000"/>
                <w:spacing w:val="4"/>
                <w:szCs w:val="21"/>
                <w:lang w:eastAsia="zh-CN"/>
              </w:rPr>
              <w:t>、</w:t>
            </w:r>
            <w:r>
              <w:rPr>
                <w:rFonts w:hint="eastAsia" w:cs="宋体"/>
              </w:rPr>
              <w:t>消防安全管理制度、</w:t>
            </w:r>
            <w:r>
              <w:rPr>
                <w:rFonts w:hint="eastAsia" w:cs="宋体"/>
                <w:lang w:val="en-GB"/>
              </w:rPr>
              <w:t>办公室安全管理制度、车辆管理规定、电脑使用管理办法</w:t>
            </w:r>
            <w:r>
              <w:rPr>
                <w:rFonts w:hint="eastAsia"/>
                <w:sz w:val="21"/>
                <w:szCs w:val="21"/>
              </w:rPr>
              <w:t>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提供有固废处置记录、相关方告知书及发放记录、劳保用品发放记录。抽相关方，未能提供对产品运输外包方</w:t>
            </w:r>
            <w:r>
              <w:rPr>
                <w:rFonts w:hint="eastAsia" w:ascii="方正仿宋简体" w:eastAsia="方正仿宋简体"/>
                <w:b w:val="0"/>
                <w:bCs/>
                <w:lang w:val="en-US" w:eastAsia="zh-CN"/>
              </w:rPr>
              <w:t>施加影响的证据。</w:t>
            </w:r>
            <w:r>
              <w:rPr>
                <w:rFonts w:hint="eastAsia"/>
                <w:sz w:val="21"/>
                <w:szCs w:val="21"/>
              </w:rPr>
              <w:t>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textAlignment w:val="auto"/>
              <w:rPr>
                <w:rFonts w:hint="eastAsia"/>
                <w:b/>
                <w:color w:val="000000" w:themeColor="text1"/>
                <w:sz w:val="20"/>
                <w:szCs w:val="20"/>
              </w:rPr>
            </w:pPr>
            <w:r>
              <w:rPr>
                <w:rFonts w:hint="eastAsia"/>
                <w:sz w:val="21"/>
                <w:szCs w:val="21"/>
                <w:lang w:val="en-GB"/>
              </w:rPr>
              <w:t>编制</w:t>
            </w:r>
            <w:r>
              <w:rPr>
                <w:rFonts w:hint="eastAsia" w:ascii="宋体" w:hAnsi="宋体"/>
                <w:color w:val="000000"/>
                <w:szCs w:val="21"/>
              </w:rPr>
              <w:t>危险源识别、风险评价控制程序</w:t>
            </w:r>
            <w:r>
              <w:rPr>
                <w:rFonts w:hint="eastAsia"/>
                <w:sz w:val="21"/>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cs="宋体"/>
              </w:rPr>
              <w:t>消防安全管理制度</w:t>
            </w:r>
            <w:r>
              <w:rPr>
                <w:rFonts w:hint="eastAsia" w:cs="宋体"/>
                <w:lang w:eastAsia="zh-CN"/>
              </w:rPr>
              <w:t>，</w:t>
            </w:r>
            <w:r>
              <w:rPr>
                <w:rFonts w:hint="eastAsia" w:cs="宋体"/>
                <w:lang w:val="en-GB"/>
              </w:rPr>
              <w:t>办公室安全管理制度</w:t>
            </w:r>
            <w:r>
              <w:rPr>
                <w:rFonts w:hint="eastAsia" w:cs="宋体"/>
                <w:lang w:val="en-GB" w:eastAsia="zh-CN"/>
              </w:rPr>
              <w:t>，</w:t>
            </w:r>
            <w:r>
              <w:rPr>
                <w:rFonts w:hint="eastAsia" w:cs="宋体"/>
                <w:lang w:val="en-GB"/>
              </w:rPr>
              <w:t>车辆管理规定</w:t>
            </w:r>
            <w:r>
              <w:rPr>
                <w:rFonts w:hint="eastAsia" w:cs="宋体"/>
                <w:lang w:val="en-GB" w:eastAsia="zh-CN"/>
              </w:rPr>
              <w:t>，</w:t>
            </w:r>
            <w:r>
              <w:rPr>
                <w:rFonts w:hint="eastAsia" w:cs="宋体"/>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w:t>
            </w:r>
            <w:r>
              <w:rPr>
                <w:rFonts w:hint="eastAsia"/>
                <w:sz w:val="21"/>
                <w:szCs w:val="21"/>
                <w:lang w:val="en-US" w:eastAsia="zh-CN"/>
              </w:rPr>
              <w:t>但未能提供对产品运输方</w:t>
            </w:r>
            <w:r>
              <w:rPr>
                <w:rFonts w:hint="eastAsia" w:ascii="方正仿宋简体" w:eastAsia="方正仿宋简体"/>
                <w:b w:val="0"/>
                <w:bCs/>
                <w:lang w:val="en-US" w:eastAsia="zh-CN"/>
              </w:rPr>
              <w:t>施加影响的证据。</w:t>
            </w:r>
            <w:r>
              <w:rPr>
                <w:rFonts w:hint="eastAsia"/>
                <w:sz w:val="21"/>
                <w:szCs w:val="21"/>
              </w:rPr>
              <w:t>办公区域干净整洁，配置灭火器等消防设施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rFonts w:hint="default"/>
                <w:b/>
                <w:color w:val="000000" w:themeColor="text1"/>
                <w:spacing w:val="-4"/>
                <w:sz w:val="20"/>
                <w:szCs w:val="20"/>
                <w:lang w:val="en-US"/>
              </w:rPr>
            </w:pPr>
            <w:r>
              <w:rPr>
                <w:rFonts w:hint="eastAsia"/>
                <w:sz w:val="21"/>
                <w:szCs w:val="21"/>
                <w:lang w:val="en-GB"/>
              </w:rPr>
              <w:t>编制应急准备和响应控制程序，识别的潜在意外紧急情况为火灾、触电等。编制了应急预案，组织了消防演练</w:t>
            </w:r>
            <w:r>
              <w:rPr>
                <w:rFonts w:hint="eastAsia"/>
                <w:sz w:val="21"/>
                <w:szCs w:val="21"/>
                <w:lang w:val="en-US" w:eastAsia="zh-CN"/>
              </w:rPr>
              <w:t>演练</w:t>
            </w:r>
            <w:r>
              <w:rPr>
                <w:rFonts w:hint="eastAsia"/>
                <w:sz w:val="21"/>
                <w:szCs w:val="21"/>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rPr>
              <w:t xml:space="preserve">10. 对特种设备的维护，检定; </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bidi w:val="0"/>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走访等形式，接受顾客反馈，了解顾客满意度信息，发放调查表对顾客满意度进行定量测量。提供“顾客满意程度调查表”，调查主要内容：</w:t>
            </w:r>
            <w:r>
              <w:rPr>
                <w:rFonts w:hint="eastAsia" w:cs="宋体"/>
                <w:lang w:val="en-US" w:eastAsia="zh-CN"/>
              </w:rPr>
              <w:t>质量、价格、交货期、服务</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cs="Times New Roman"/>
                <w:sz w:val="21"/>
                <w:szCs w:val="21"/>
                <w:lang w:val="zh-CN"/>
              </w:rPr>
              <w:t>。</w:t>
            </w:r>
            <w:r>
              <w:rPr>
                <w:rFonts w:hint="eastAsia" w:ascii="Times New Roman" w:hAnsi="Times New Roman" w:cs="Times New Roman"/>
                <w:sz w:val="21"/>
                <w:szCs w:val="21"/>
              </w:rPr>
              <w:t>提供</w:t>
            </w:r>
            <w:r>
              <w:rPr>
                <w:rFonts w:hint="eastAsia" w:cs="Times New Roman"/>
                <w:sz w:val="21"/>
                <w:szCs w:val="21"/>
                <w:lang w:eastAsia="zh-CN"/>
              </w:rPr>
              <w:t>“</w:t>
            </w:r>
            <w:r>
              <w:rPr>
                <w:rFonts w:hint="eastAsia" w:ascii="Times New Roman" w:hAnsi="Times New Roman" w:cs="Times New Roman"/>
                <w:sz w:val="21"/>
                <w:szCs w:val="21"/>
              </w:rPr>
              <w:t>顾客满意程度统计分析表</w:t>
            </w:r>
            <w:r>
              <w:rPr>
                <w:rFonts w:hint="eastAsia" w:cs="Times New Roman"/>
                <w:sz w:val="21"/>
                <w:szCs w:val="21"/>
                <w:lang w:eastAsia="zh-CN"/>
              </w:rPr>
              <w:t>”，</w:t>
            </w:r>
            <w:r>
              <w:rPr>
                <w:rFonts w:hint="eastAsia" w:cs="Times New Roman"/>
                <w:sz w:val="21"/>
                <w:szCs w:val="21"/>
                <w:lang w:val="en-US" w:eastAsia="zh-CN"/>
              </w:rPr>
              <w:t>得出</w:t>
            </w:r>
            <w:r>
              <w:rPr>
                <w:rFonts w:hint="eastAsia" w:ascii="Times New Roman" w:hAnsi="Times New Roman" w:cs="Times New Roman"/>
                <w:sz w:val="21"/>
                <w:szCs w:val="21"/>
              </w:rPr>
              <w:t>顾客满意率</w:t>
            </w:r>
            <w:r>
              <w:rPr>
                <w:rFonts w:hint="eastAsia" w:cs="Times New Roman"/>
                <w:sz w:val="21"/>
                <w:szCs w:val="21"/>
                <w:lang w:val="en-US" w:eastAsia="zh-CN"/>
              </w:rPr>
              <w:t>96</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20年3月24日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cs="宋体"/>
                <w:lang w:val="en-US" w:eastAsia="zh-CN"/>
              </w:rPr>
              <w:t>4</w:t>
            </w:r>
            <w:r>
              <w:rPr>
                <w:rFonts w:hint="eastAsia" w:cs="宋体"/>
              </w:rPr>
              <w:t>月</w:t>
            </w:r>
            <w:r>
              <w:rPr>
                <w:rFonts w:hint="eastAsia" w:cs="宋体"/>
                <w:lang w:val="en-US" w:eastAsia="zh-CN"/>
              </w:rPr>
              <w:t>3</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无职业病。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8.OHSMS国家/地方职业健康安全部门监督检查情况及措施</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已改，符合要求。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ind w:left="0" w:leftChars="0" w:firstLine="0" w:firstLineChars="0"/>
              <w:textAlignment w:val="auto"/>
              <w:rPr>
                <w:rFonts w:hint="eastAsia"/>
                <w:b/>
                <w:color w:val="000000" w:themeColor="text1"/>
                <w:szCs w:val="21"/>
              </w:rPr>
            </w:pPr>
            <w:r>
              <w:rPr>
                <w:rFonts w:hint="eastAsia"/>
                <w:b/>
                <w:color w:val="000000" w:themeColor="text1"/>
                <w:szCs w:val="21"/>
              </w:rPr>
              <w:t>上次不符合的整改情况（再认证填写）</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业务部</w:t>
      </w:r>
      <w:r>
        <w:rPr>
          <w:rFonts w:hint="eastAsia"/>
          <w:b/>
          <w:color w:val="000000" w:themeColor="text1"/>
        </w:rPr>
        <w:t>的GB/T19001-2016标准的</w:t>
      </w:r>
      <w:r>
        <w:rPr>
          <w:rFonts w:hint="eastAsia"/>
          <w:b/>
          <w:color w:val="000000" w:themeColor="text1"/>
          <w:lang w:val="en-US" w:eastAsia="zh-CN"/>
        </w:rPr>
        <w:t>8.4.1</w:t>
      </w:r>
      <w:r>
        <w:rPr>
          <w:rFonts w:hint="eastAsia"/>
          <w:b/>
          <w:color w:val="000000" w:themeColor="text1"/>
        </w:rPr>
        <w:t>条款，GB/T24001-2016标准的</w:t>
      </w:r>
      <w:r>
        <w:rPr>
          <w:rFonts w:hint="eastAsia"/>
          <w:b/>
          <w:color w:val="000000" w:themeColor="text1"/>
          <w:lang w:val="en-US" w:eastAsia="zh-CN"/>
        </w:rPr>
        <w:t>8.1</w:t>
      </w:r>
      <w:r>
        <w:rPr>
          <w:rFonts w:hint="eastAsia"/>
          <w:b/>
          <w:color w:val="000000" w:themeColor="text1"/>
        </w:rPr>
        <w:t>条款，</w:t>
      </w:r>
      <w:r>
        <w:rPr>
          <w:rFonts w:hint="eastAsia"/>
          <w:b/>
          <w:color w:val="000000" w:themeColor="text1"/>
          <w:lang w:val="en-US" w:eastAsia="zh-CN"/>
        </w:rPr>
        <w:t>GB/T45001-2020</w:t>
      </w:r>
      <w:r>
        <w:rPr>
          <w:rFonts w:hint="eastAsia"/>
          <w:b/>
          <w:color w:val="000000" w:themeColor="text1"/>
        </w:rPr>
        <w:t>标准的</w:t>
      </w:r>
      <w:r>
        <w:rPr>
          <w:rFonts w:hint="eastAsia"/>
          <w:b/>
          <w:color w:val="000000" w:themeColor="text1"/>
          <w:lang w:val="en-US" w:eastAsia="zh-CN"/>
        </w:rPr>
        <w:t>8.1.4</w:t>
      </w:r>
      <w:r>
        <w:rPr>
          <w:rFonts w:hint="eastAsia"/>
          <w:b/>
          <w:color w:val="000000" w:themeColor="text1"/>
        </w:rPr>
        <w:t>条款，分布见附件。</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24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24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24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0" w:leftChars="105" w:firstLine="0" w:firstLineChars="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新疆贝斯格办公家具有限公司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rPr>
                <w:b w:val="0"/>
                <w:bCs w:val="0"/>
                <w:sz w:val="21"/>
                <w:szCs w:val="21"/>
              </w:rPr>
            </w:pPr>
            <w:r>
              <w:rPr>
                <w:b w:val="0"/>
                <w:bCs w:val="0"/>
                <w:sz w:val="21"/>
                <w:szCs w:val="21"/>
              </w:rPr>
              <w:t>Q：</w:t>
            </w:r>
            <w:r>
              <w:rPr>
                <w:rFonts w:hint="eastAsia"/>
                <w:b w:val="0"/>
                <w:bCs w:val="0"/>
                <w:sz w:val="21"/>
                <w:szCs w:val="21"/>
                <w:lang w:eastAsia="zh-CN"/>
              </w:rPr>
              <w:t>金属家具、木质家具、不锈钢制品、密集架、保密柜、保险柜、文件柜</w:t>
            </w:r>
            <w:r>
              <w:rPr>
                <w:b w:val="0"/>
                <w:bCs w:val="0"/>
                <w:sz w:val="21"/>
                <w:szCs w:val="21"/>
              </w:rPr>
              <w:t>的销售</w:t>
            </w:r>
          </w:p>
          <w:p>
            <w:pPr>
              <w:rPr>
                <w:b w:val="0"/>
                <w:bCs w:val="0"/>
                <w:sz w:val="21"/>
                <w:szCs w:val="21"/>
              </w:rPr>
            </w:pPr>
            <w:r>
              <w:rPr>
                <w:b w:val="0"/>
                <w:bCs w:val="0"/>
                <w:sz w:val="21"/>
                <w:szCs w:val="21"/>
              </w:rPr>
              <w:t>E：</w:t>
            </w:r>
            <w:r>
              <w:rPr>
                <w:rFonts w:hint="eastAsia"/>
                <w:b w:val="0"/>
                <w:bCs w:val="0"/>
                <w:sz w:val="21"/>
                <w:szCs w:val="21"/>
                <w:lang w:eastAsia="zh-CN"/>
              </w:rPr>
              <w:t>金属家具、木质家具、不锈钢制品、密集架、保密柜、保险柜、文件柜</w:t>
            </w:r>
            <w:r>
              <w:rPr>
                <w:b w:val="0"/>
                <w:bCs w:val="0"/>
                <w:sz w:val="21"/>
                <w:szCs w:val="21"/>
              </w:rPr>
              <w:t>的销售及相关环境管理活动</w:t>
            </w:r>
          </w:p>
          <w:p>
            <w:pPr>
              <w:rPr>
                <w:b w:val="0"/>
                <w:bCs w:val="0"/>
                <w:sz w:val="21"/>
                <w:szCs w:val="21"/>
              </w:rPr>
            </w:pPr>
            <w:r>
              <w:rPr>
                <w:b w:val="0"/>
                <w:bCs w:val="0"/>
                <w:sz w:val="21"/>
                <w:szCs w:val="21"/>
              </w:rPr>
              <w:t>O：</w:t>
            </w:r>
            <w:r>
              <w:rPr>
                <w:rFonts w:hint="eastAsia"/>
                <w:b w:val="0"/>
                <w:bCs w:val="0"/>
                <w:sz w:val="21"/>
                <w:szCs w:val="21"/>
                <w:lang w:eastAsia="zh-CN"/>
              </w:rPr>
              <w:t>金属家具、木质家具、不锈钢制品、密集架、保密柜、保险柜、文件柜</w:t>
            </w:r>
            <w:r>
              <w:rPr>
                <w:b w:val="0"/>
                <w:bCs w:val="0"/>
                <w:sz w:val="21"/>
                <w:szCs w:val="21"/>
              </w:rPr>
              <w:t>的销售及相关职业健康安全管理活动</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hint="eastAsia" w:ascii="Times New Roman" w:hAnsi="Times New Roman" w:eastAsia="宋体" w:cs="Times New Roman"/>
          <w:b/>
          <w:color w:val="000000" w:themeColor="text1"/>
          <w:kern w:val="2"/>
          <w:sz w:val="26"/>
          <w:szCs w:val="26"/>
          <w:lang w:val="en-US" w:eastAsia="zh-CN" w:bidi="ar-SA"/>
        </w:rPr>
      </w:pPr>
    </w:p>
    <w:p>
      <w:pPr>
        <w:pStyle w:val="6"/>
        <w:spacing w:line="360" w:lineRule="auto"/>
        <w:ind w:left="-67" w:leftChars="-472" w:hanging="924" w:hangingChars="354"/>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Lines="50" w:afterLines="50"/>
        <w:ind w:left="1" w:leftChars="-405" w:hanging="851" w:hangingChars="326"/>
        <w:rPr>
          <w:rFonts w:hint="default" w:eastAsia="宋体"/>
          <w:b/>
          <w:color w:val="000000" w:themeColor="text1"/>
          <w:sz w:val="26"/>
          <w:szCs w:val="26"/>
          <w:lang w:val="en-US" w:eastAsia="zh-CN"/>
        </w:rPr>
      </w:pPr>
      <w:r>
        <w:rPr>
          <w:rFonts w:hint="eastAsia"/>
          <w:b/>
          <w:color w:val="000000" w:themeColor="text1"/>
          <w:sz w:val="26"/>
          <w:szCs w:val="26"/>
        </w:rPr>
        <w:t>十三、 任何影响审核方案的重要事项</w:t>
      </w:r>
    </w:p>
    <w:p>
      <w:pPr>
        <w:spacing w:beforeLines="50" w:afterLines="50"/>
        <w:ind w:left="-326" w:leftChars="-405" w:hanging="524" w:hangingChars="326"/>
        <w:rPr>
          <w:rFonts w:hint="default" w:eastAsia="宋体"/>
          <w:b/>
          <w:color w:val="000000" w:themeColor="text1"/>
          <w:sz w:val="16"/>
          <w:szCs w:val="16"/>
          <w:lang w:val="en-US" w:eastAsia="zh-CN"/>
        </w:rPr>
      </w:pPr>
      <w:r>
        <w:rPr>
          <w:rFonts w:hint="eastAsia"/>
          <w:b/>
          <w:color w:val="000000" w:themeColor="text1"/>
          <w:sz w:val="16"/>
          <w:szCs w:val="16"/>
          <w:lang w:val="en-US" w:eastAsia="zh-CN"/>
        </w:rPr>
        <w:t xml:space="preserve">           </w:t>
      </w:r>
      <w:r>
        <w:rPr>
          <w:rFonts w:hint="eastAsia"/>
          <w:b w:val="0"/>
          <w:bCs/>
          <w:color w:val="000000" w:themeColor="text1"/>
          <w:lang w:val="en-US" w:eastAsia="zh-CN"/>
        </w:rPr>
        <w:t>受疫情影响采取远程审核方式，审核发现受限</w:t>
      </w: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5408" behindDoc="0" locked="0" layoutInCell="1" allowOverlap="1">
            <wp:simplePos x="0" y="0"/>
            <wp:positionH relativeFrom="column">
              <wp:posOffset>1541780</wp:posOffset>
            </wp:positionH>
            <wp:positionV relativeFrom="paragraph">
              <wp:posOffset>169545</wp:posOffset>
            </wp:positionV>
            <wp:extent cx="1093470" cy="52641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93470" cy="526415"/>
                    </a:xfrm>
                    <a:prstGeom prst="rect">
                      <a:avLst/>
                    </a:prstGeom>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审核组组长（签名）：</w:t>
      </w:r>
    </w:p>
    <w:p>
      <w:pPr>
        <w:snapToGrid w:val="0"/>
        <w:spacing w:beforeLines="50" w:line="360" w:lineRule="auto"/>
        <w:ind w:firstLine="527" w:firstLineChars="250"/>
        <w:rPr>
          <w:b/>
          <w:color w:val="000000" w:themeColor="text1"/>
        </w:rPr>
      </w:pPr>
      <w:r>
        <w:rPr>
          <w:rFonts w:ascii="宋体" w:hAnsi="宋体"/>
          <w:b/>
          <w:color w:val="000000"/>
        </w:rPr>
        <w:drawing>
          <wp:anchor distT="0" distB="0" distL="114300" distR="114300" simplePos="0" relativeHeight="251683840" behindDoc="0" locked="0" layoutInCell="1" allowOverlap="1">
            <wp:simplePos x="0" y="0"/>
            <wp:positionH relativeFrom="column">
              <wp:posOffset>1617345</wp:posOffset>
            </wp:positionH>
            <wp:positionV relativeFrom="paragraph">
              <wp:posOffset>164465</wp:posOffset>
            </wp:positionV>
            <wp:extent cx="906145" cy="384810"/>
            <wp:effectExtent l="0" t="0" r="8255" b="8890"/>
            <wp:wrapNone/>
            <wp:docPr id="5" name="图片 5" descr="250592e7e3a8e8f75a076c475f72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50592e7e3a8e8f75a076c475f72db9"/>
                    <pic:cNvPicPr>
                      <a:picLocks noChangeAspect="1"/>
                    </pic:cNvPicPr>
                  </pic:nvPicPr>
                  <pic:blipFill>
                    <a:blip r:embed="rId7"/>
                    <a:stretch>
                      <a:fillRect/>
                    </a:stretch>
                  </pic:blipFill>
                  <pic:spPr>
                    <a:xfrm>
                      <a:off x="0" y="0"/>
                      <a:ext cx="906145" cy="384810"/>
                    </a:xfrm>
                    <a:prstGeom prst="rect">
                      <a:avLst/>
                    </a:prstGeom>
                  </pic:spPr>
                </pic:pic>
              </a:graphicData>
            </a:graphic>
          </wp:anchor>
        </w:drawing>
      </w:r>
    </w:p>
    <w:p>
      <w:pPr>
        <w:snapToGrid w:val="0"/>
        <w:spacing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p>
    <w:p>
      <w:pPr>
        <w:snapToGrid w:val="0"/>
        <w:spacing w:line="360" w:lineRule="auto"/>
        <w:ind w:firstLine="4554" w:firstLineChars="2160"/>
        <w:rPr>
          <w:rFonts w:hint="eastAsia"/>
          <w:b/>
          <w:color w:val="000000" w:themeColor="text1"/>
          <w:sz w:val="26"/>
          <w:szCs w:val="2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numPr>
          <w:ilvl w:val="0"/>
          <w:numId w:val="0"/>
        </w:numPr>
        <w:spacing w:beforeLines="50" w:afterLines="50"/>
        <w:ind w:leftChars="-231"/>
        <w:rPr>
          <w:rFonts w:hint="eastAsia"/>
          <w:b/>
          <w:sz w:val="21"/>
          <w:szCs w:val="21"/>
        </w:rPr>
      </w:pPr>
      <w:r>
        <w:rPr>
          <w:rFonts w:hint="eastAsia"/>
          <w:b/>
          <w:bCs/>
          <w:color w:val="000000" w:themeColor="text1"/>
          <w:szCs w:val="21"/>
        </w:rPr>
        <w:t xml:space="preserve">1.  </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numPr>
          <w:ilvl w:val="0"/>
          <w:numId w:val="0"/>
        </w:numPr>
        <w:spacing w:beforeLines="50" w:afterLines="50"/>
        <w:rPr>
          <w:rFonts w:hint="eastAsia"/>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napToGrid w:val="0"/>
        <w:spacing w:beforeLines="50" w:afterLines="50" w:line="360" w:lineRule="auto"/>
        <w:rPr>
          <w:b/>
          <w:color w:val="000000" w:themeColor="text1"/>
          <w:sz w:val="26"/>
          <w:szCs w:val="26"/>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 xml:space="preserve">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rPr>
        <w:drawing>
          <wp:anchor distT="0" distB="0" distL="114300" distR="114300" simplePos="0" relativeHeight="251666432" behindDoc="0" locked="0" layoutInCell="1" allowOverlap="1">
            <wp:simplePos x="0" y="0"/>
            <wp:positionH relativeFrom="column">
              <wp:posOffset>664845</wp:posOffset>
            </wp:positionH>
            <wp:positionV relativeFrom="paragraph">
              <wp:posOffset>158115</wp:posOffset>
            </wp:positionV>
            <wp:extent cx="1160145" cy="55880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160145" cy="558800"/>
                    </a:xfrm>
                    <a:prstGeom prst="rect">
                      <a:avLst/>
                    </a:prstGeom>
                  </pic:spPr>
                </pic:pic>
              </a:graphicData>
            </a:graphic>
          </wp:anchor>
        </w:drawing>
      </w: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12</w:t>
      </w:r>
      <w:r>
        <w:rPr>
          <w:rFonts w:hint="eastAsia"/>
          <w:b/>
          <w:color w:val="000000" w:themeColor="text1"/>
          <w:szCs w:val="21"/>
        </w:rPr>
        <w:t>日</w:t>
      </w:r>
    </w:p>
    <w:p>
      <w:pPr>
        <w:spacing w:line="360" w:lineRule="auto"/>
        <w:ind w:leftChars="-405" w:hanging="1052" w:hangingChars="403"/>
        <w:rPr>
          <w:rFonts w:hint="eastAsia"/>
          <w:b/>
          <w:color w:val="000000" w:themeColor="text1"/>
          <w:sz w:val="26"/>
          <w:szCs w:val="26"/>
        </w:rPr>
      </w:pPr>
    </w:p>
    <w:p>
      <w:pPr>
        <w:pStyle w:val="2"/>
        <w:rPr>
          <w:rFonts w:hint="eastAsia"/>
        </w:rPr>
      </w:pPr>
      <w:bookmarkStart w:id="6" w:name="_GoBack"/>
      <w:bookmarkEnd w:id="6"/>
    </w:p>
    <w:p>
      <w:pPr>
        <w:spacing w:line="360" w:lineRule="auto"/>
        <w:ind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pacing w:beforeLines="50" w:afterLines="50" w:line="240" w:lineRule="exact"/>
        <w:ind w:left="1" w:leftChars="-405" w:hanging="851" w:hangingChars="326"/>
        <w:rPr>
          <w:rFonts w:hint="eastAsia"/>
          <w:b/>
          <w:color w:val="000000" w:themeColor="text1"/>
          <w:sz w:val="26"/>
          <w:szCs w:val="26"/>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pacing w:line="360" w:lineRule="auto"/>
        <w:ind w:left="1" w:leftChars="-405" w:hanging="851" w:hangingChars="326"/>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5"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5"/>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79F1A37"/>
    <w:rsid w:val="0BDA2519"/>
    <w:rsid w:val="0D8245B3"/>
    <w:rsid w:val="0FBD207B"/>
    <w:rsid w:val="12DE6430"/>
    <w:rsid w:val="16390561"/>
    <w:rsid w:val="1C440198"/>
    <w:rsid w:val="21611269"/>
    <w:rsid w:val="22DF6A1C"/>
    <w:rsid w:val="3AFE3AFE"/>
    <w:rsid w:val="3C6210A8"/>
    <w:rsid w:val="3D5A52DA"/>
    <w:rsid w:val="41311C61"/>
    <w:rsid w:val="4A927D7E"/>
    <w:rsid w:val="4B4A3A22"/>
    <w:rsid w:val="4BA44912"/>
    <w:rsid w:val="4EBE37BE"/>
    <w:rsid w:val="57A97EAC"/>
    <w:rsid w:val="58BD1AE1"/>
    <w:rsid w:val="5A653F63"/>
    <w:rsid w:val="5CDD1C2D"/>
    <w:rsid w:val="5D9D17FB"/>
    <w:rsid w:val="5F7C586A"/>
    <w:rsid w:val="60F21181"/>
    <w:rsid w:val="6F1B4CB1"/>
    <w:rsid w:val="73A50094"/>
    <w:rsid w:val="74621369"/>
    <w:rsid w:val="7D426E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2"/>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8243</Words>
  <Characters>9355</Characters>
  <Lines>36</Lines>
  <Paragraphs>10</Paragraphs>
  <TotalTime>9</TotalTime>
  <ScaleCrop>false</ScaleCrop>
  <LinksUpToDate>false</LinksUpToDate>
  <CharactersWithSpaces>9674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2019-10-07T03:18:00Z</cp:lastPrinted>
  <dcterms:modified xsi:type="dcterms:W3CDTF">2020-07-13T02:58:35Z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