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0210-2023-QEO-2025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江西林泉乐殡葬有限公司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91360982MA38TAJKX7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江西林泉乐殡葬有限公司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江西省宜春市樟树市福城街道药市路99号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江西省宜春市樟树市福城街道药市路99号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殡仪用品（寿衣、寿被、寿棺、纸棺、骨灰盒），礼品花卉（鲜花、绢花布置），消毒剂（骨灰保存剂、遗体除味剂，不含危险化学品），建筑用石（墓碑、墓穴用石），工艺美术品（玉雕）及礼仪用品，纸制品（纸棺、花圈、殡仪小物品），金属制品、计算机软件及辅助设备的销售</w:t>
            </w:r>
          </w:p>
          <w:p w:rsidR="00114DAF">
            <w:pPr>
              <w:snapToGrid w:val="0"/>
              <w:spacing w:line="0" w:lineRule="atLeast"/>
              <w:jc w:val="left"/>
              <w:rPr>
                <w:sz w:val="21"/>
                <w:szCs w:val="21"/>
                <w:lang w:val="en-GB"/>
              </w:rPr>
            </w:pPr>
            <w:r>
              <w:rPr>
                <w:sz w:val="21"/>
                <w:szCs w:val="21"/>
                <w:lang w:val="en-GB"/>
              </w:rPr>
              <w:t>E：殡仪用品（寿衣、寿被、寿棺、纸棺、骨灰盒），礼品花卉（鲜花、绢花布置），消毒剂（骨灰保存剂、遗体除味剂，不含危险化学品），建筑用石（墓碑、墓穴用石），工艺美术品（玉雕）及礼仪用品，纸制品（纸棺、花圈、殡仪小物品），金属制品、计算机软件及辅助设备的销售所涉及场所的相关环境管理活动</w:t>
            </w:r>
          </w:p>
          <w:p w:rsidR="00114DAF">
            <w:pPr>
              <w:snapToGrid w:val="0"/>
              <w:spacing w:line="0" w:lineRule="atLeast"/>
              <w:jc w:val="left"/>
              <w:rPr>
                <w:sz w:val="21"/>
                <w:szCs w:val="21"/>
                <w:lang w:val="en-GB"/>
              </w:rPr>
            </w:pPr>
            <w:r>
              <w:rPr>
                <w:sz w:val="21"/>
                <w:szCs w:val="21"/>
                <w:lang w:val="en-GB"/>
              </w:rPr>
              <w:t>O：殡仪用品（寿衣、寿被、寿棺、纸棺、骨灰盒），礼品花卉（鲜花、绢花布置），消毒剂（骨灰保存剂、遗体除味剂，不含危险化学品），建筑用石（墓碑、墓穴用石），工艺美术品（玉雕）及礼仪用品，纸制品（纸棺、花圈、殡仪小物品），金属制品、计算机软件及辅助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江西林泉乐殡葬有限公司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江西省宜春市樟树市福城街道药市路99号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江西省宜春市樟树市福城街道药市路99号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殡仪用品（寿衣、寿被、寿棺、纸棺、骨灰盒），礼品花卉（鲜花、绢花布置），消毒剂（骨灰保存剂、遗体除味剂，不含危险化学品），建筑用石（墓碑、墓穴用石），工艺美术品（玉雕）及礼仪用品，纸制品（纸棺、花圈、殡仪小物品），金属制品、计算机软件及辅助设备的销售</w:t>
            </w:r>
          </w:p>
          <w:p w:rsidR="00114DAF">
            <w:pPr>
              <w:snapToGrid w:val="0"/>
              <w:spacing w:line="0" w:lineRule="atLeast"/>
              <w:jc w:val="left"/>
              <w:rPr>
                <w:sz w:val="21"/>
                <w:szCs w:val="21"/>
                <w:lang w:val="en-GB"/>
              </w:rPr>
            </w:pPr>
            <w:r>
              <w:rPr>
                <w:sz w:val="21"/>
                <w:szCs w:val="21"/>
                <w:lang w:val="en-GB"/>
              </w:rPr>
              <w:t>E：殡仪用品（寿衣、寿被、寿棺、纸棺、骨灰盒），礼品花卉（鲜花、绢花布置），消毒剂（骨灰保存剂、遗体除味剂，不含危险化学品），建筑用石（墓碑、墓穴用石），工艺美术品（玉雕）及礼仪用品，纸制品（纸棺、花圈、殡仪小物品），金属制品、计算机软件及辅助设备的销售所涉及场所的相关环境管理活动</w:t>
            </w:r>
          </w:p>
          <w:p w:rsidR="00114DAF">
            <w:pPr>
              <w:snapToGrid w:val="0"/>
              <w:spacing w:line="0" w:lineRule="atLeast"/>
              <w:jc w:val="left"/>
              <w:rPr>
                <w:sz w:val="21"/>
                <w:szCs w:val="21"/>
                <w:lang w:val="en-GB"/>
              </w:rPr>
            </w:pPr>
            <w:r>
              <w:rPr>
                <w:sz w:val="21"/>
                <w:szCs w:val="21"/>
                <w:lang w:val="en-GB"/>
              </w:rPr>
              <w:t>O：殡仪用品（寿衣、寿被、寿棺、纸棺、骨灰盒），礼品花卉（鲜花、绢花布置），消毒剂（骨灰保存剂、遗体除味剂，不含危险化学品），建筑用石（墓碑、墓穴用石），工艺美术品（玉雕）及礼仪用品，纸制品（纸棺、花圈、殡仪小物品），金属制品、计算机软件及辅助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