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8"/>
        <w:gridCol w:w="284"/>
        <w:gridCol w:w="128"/>
        <w:gridCol w:w="475"/>
        <w:gridCol w:w="956"/>
        <w:gridCol w:w="992"/>
        <w:gridCol w:w="142"/>
        <w:gridCol w:w="797"/>
        <w:gridCol w:w="762"/>
        <w:gridCol w:w="567"/>
        <w:gridCol w:w="1418"/>
        <w:gridCol w:w="228"/>
        <w:gridCol w:w="236"/>
        <w:gridCol w:w="386"/>
        <w:gridCol w:w="425"/>
        <w:gridCol w:w="1229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苏州鲜丰生态农业有限公司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0320-2020-QEOF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 xml:space="preserve">■FSMS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刘朦朦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13776091095</w:t>
            </w:r>
            <w:bookmarkEnd w:id="6"/>
          </w:p>
        </w:tc>
        <w:tc>
          <w:tcPr>
            <w:tcW w:w="23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潘治强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213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236" w:type="dxa"/>
            <w:vMerge w:val="continue"/>
            <w:vAlign w:val="center"/>
          </w:tcPr>
          <w:p/>
        </w:tc>
        <w:tc>
          <w:tcPr>
            <w:tcW w:w="207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Q：预包装食品（米、面、粮油、冷冻肉），初级农产品（蔬菜、畜禽肉类、蛋类）的销售</w:t>
            </w:r>
          </w:p>
          <w:p>
            <w:r>
              <w:t>E：预包装食品（米、面、粮油、冷冻肉），初级农产品（蔬菜、畜禽肉类、蛋类）的销售及相关环境管理活动</w:t>
            </w:r>
          </w:p>
          <w:p>
            <w:r>
              <w:t>O：预包装食品（米、面、粮油、冷冻肉），初级农产品（蔬菜、畜禽肉类、蛋类）的销售及相关职业健康安全管理活动</w:t>
            </w:r>
          </w:p>
          <w:p>
            <w:r>
              <w:t>F：预包装食品（米、面、粮油、冷冻肉），初级农产品（蔬菜、畜禽肉类、蛋类）的配送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Q：29.07.01;29.07.02;29.07.03</w:t>
            </w:r>
          </w:p>
          <w:p>
            <w:r>
              <w:t>E：29.07.01;29.07.02;29.07.03</w:t>
            </w:r>
          </w:p>
          <w:p>
            <w:r>
              <w:t>O：29.07.01;29.07.02;29.07.03</w:t>
            </w:r>
          </w:p>
          <w:p>
            <w:r>
              <w:t>F：GI;GII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Q：GB/T19001-2016/ISO9001:2015,</w:t>
            </w:r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E：GB/T 24001-2016/ISO14001:2015,</w:t>
            </w:r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O：GB/T45001-2020 / ISO45001：2018,</w:t>
            </w:r>
            <w:bookmarkEnd w:id="12"/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GB/T22000-2006/ISO22000:2005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CNCA/CTS 001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-2014</w:t>
            </w:r>
            <w:r>
              <w:rPr>
                <w:rFonts w:hint="eastAsia"/>
                <w:szCs w:val="22"/>
                <w:lang w:eastAsia="zh-CN"/>
              </w:rPr>
              <w:t>《</w:t>
            </w:r>
            <w:r>
              <w:rPr>
                <w:rFonts w:hint="eastAsia"/>
                <w:szCs w:val="22"/>
                <w:lang w:val="en-US" w:eastAsia="zh-CN"/>
              </w:rPr>
              <w:t>食品安全管理体系 运输和储藏企业要求</w:t>
            </w:r>
            <w:r>
              <w:rPr>
                <w:rFonts w:hint="eastAsia"/>
                <w:szCs w:val="22"/>
                <w:lang w:eastAsia="zh-CN"/>
              </w:rPr>
              <w:t>》</w:t>
            </w:r>
            <w:r>
              <w:rPr>
                <w:rFonts w:hint="eastAsia"/>
                <w:szCs w:val="22"/>
                <w:lang w:val="en-US" w:eastAsia="zh-CN"/>
              </w:rPr>
              <w:t>和CCAA/CTS 12-2014《食品安全管理体系 果蔬生产企业要求》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2020年07月04日 上午至2020年07月04日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0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0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Q:审核员2019-N1QMS-1258213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E:审核员2020-N1EMS-1258213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O:审核员2020-N1OHSMS-1258213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0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Q:审核员2018-N1QMS-2047774</w:t>
            </w:r>
          </w:p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E:审核员2017-N1EMS-3047774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F:审核员 2018-N1FSMS-3047774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F:GI,GII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0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陈卓琦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Q:审核员2019-N1QMS-2051924</w:t>
            </w:r>
          </w:p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E:实习审核员2018-N0EMS-2051924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F:审核员2018-N1FSMS-2051924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13913535051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ISC-51924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0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Q:审核员2020-N1QMS-1261927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O:审核员2020-N1OHSMS-1261927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0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E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Q:实习审核员2020-N0QMS-1251569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E:实习审核员2020-N0EMS-1251569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5" w:hRule="atLeast"/>
          <w:jc w:val="center"/>
        </w:trPr>
        <w:tc>
          <w:tcPr>
            <w:tcW w:w="913" w:type="dxa"/>
            <w:vAlign w:val="center"/>
          </w:tcPr>
          <w:p/>
        </w:tc>
        <w:tc>
          <w:tcPr>
            <w:tcW w:w="700" w:type="dxa"/>
            <w:gridSpan w:val="3"/>
            <w:vAlign w:val="center"/>
          </w:tcPr>
          <w:p/>
        </w:tc>
        <w:tc>
          <w:tcPr>
            <w:tcW w:w="475" w:type="dxa"/>
            <w:vAlign w:val="center"/>
          </w:tcPr>
          <w:p/>
        </w:tc>
        <w:tc>
          <w:tcPr>
            <w:tcW w:w="2887" w:type="dxa"/>
            <w:gridSpan w:val="4"/>
            <w:vAlign w:val="center"/>
          </w:tcPr>
          <w:p/>
        </w:tc>
        <w:tc>
          <w:tcPr>
            <w:tcW w:w="2975" w:type="dxa"/>
            <w:gridSpan w:val="4"/>
            <w:vAlign w:val="center"/>
          </w:tcPr>
          <w:p/>
        </w:tc>
        <w:tc>
          <w:tcPr>
            <w:tcW w:w="1047" w:type="dxa"/>
            <w:gridSpan w:val="3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bookmarkStart w:id="14" w:name="_GoBack"/>
      <w:bookmarkEnd w:id="14"/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2020.7.4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8:30-10:00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合同基本信息确认: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确定审核范围的合理性（地址、产品/服务）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的地址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确定有效的员工人数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生产、服务的班次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了解企业基本情况：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组织环境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主要的相关方和期望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风险的识别和评价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组织机构的设置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文件化体系策划情况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管理手册；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文件化的程序；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作业文件；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各管理体系的运行情况：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管理方针制定与贯彻情况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管理目标及完成统计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相关方/客户的反馈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内审的策划和实施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管理体系的评审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对多场所/临时场所建立的控制的水平（适用时）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10:00-11:30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-巡视生产区域（厂区、车间、库房、实验室等）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-确认生产/服务流程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-观察基础设施（生产设备、环保设备、安全装置/手持电动工具等）运行完好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-观察质量相关的监视和测量设备的种类并了解检定/校准情况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-观察使用特种设备的种类并了解定期检测和备案登记情况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、食堂、宿舍、班车等）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-观察总排口是否存在明显违规现象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-观察员工劳保用品的佩戴情况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-了解是否存在室外作业的情况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-观察工作环境（清洁、消毒、虫害防治等）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布局、产品实现过程，确认食品安全控制措施（工艺技术、产品标准）的合理性、实施的有效性。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-确认生产和辅助设施配备的充分性，检验设备和检验能力的充分性。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-仓库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widowControl/>
              <w:spacing w:before="40" w:line="300" w:lineRule="exact"/>
              <w:ind w:left="278"/>
              <w:jc w:val="left"/>
            </w:pPr>
            <w:r>
              <w:rPr>
                <w:rFonts w:hint="eastAsia" w:ascii="宋体" w:hAnsi="宋体" w:cs="宋体"/>
                <w:sz w:val="18"/>
                <w:szCs w:val="18"/>
              </w:rPr>
              <w:t>-标识、追溯计划、产品召回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11:30-12:30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确认不适用条款及合理的理由                  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了解质量关键控制点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了解关键过程和需要确认的过程及控制情况；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了解产品执行的标准或技术要求；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查看型式检验的证据（报告）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了解顾客投诉处理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了解顾客满意度的情况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12:30-13:00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13:00-16:30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查看地理位置图、污水管网图（适用时）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了解主要资源和能源使用种类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查看环境因素的识别和评价程序合理性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了解重要环境因素的和控制措施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了解适用的环境法律和其他要求的获取、识别程序实施情况和合规性评价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查看合规性证明（98年后新扩建的环评验收、环境监测报告）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了解危险废弃物的处置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了解应急准备和响应情况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OHSMS运行情况：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查看危险源的辨识和评价程序合理性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了解重要危险源的辨识和控制措施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查看合规性证明（安全评估、职业病评估、作业场所监测、）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了解三级安全教育的实施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了解职业病体检的情况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8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13:00-16:30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FSMS运行情况：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查看食品安全危害识别的充分性和评估的合理性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查看人流、物流、水流、气流的合理性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查看PRP、OPRP和HACCP计划（仅限FSMS）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了解食品安全的关键控制点、关键限值的确定及其支持性证据。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了解员工的健康（证）的情况；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控制措施的确认、活动的验证和改进方案符合食品安全管理体系标准的要求;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食品安全管理体系的文件和安排适合内部沟通和与相关供应商、顾客、利益相关方的沟通;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标识、追溯计划和产品召回/撤回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查看产品食品安全性检验的证据（报告）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了解产品顾客投诉处理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69F"/>
    <w:rsid w:val="006722DB"/>
    <w:rsid w:val="00C46C43"/>
    <w:rsid w:val="00D8269F"/>
    <w:rsid w:val="0C954C96"/>
    <w:rsid w:val="162E7731"/>
    <w:rsid w:val="32F728C0"/>
    <w:rsid w:val="365927B2"/>
    <w:rsid w:val="52F27E9C"/>
    <w:rsid w:val="62806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620</Words>
  <Characters>3538</Characters>
  <Lines>29</Lines>
  <Paragraphs>8</Paragraphs>
  <TotalTime>1</TotalTime>
  <ScaleCrop>false</ScaleCrop>
  <LinksUpToDate>false</LinksUpToDate>
  <CharactersWithSpaces>4150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2020-07-07T01:38:00Z</cp:lastPrinted>
  <dcterms:modified xsi:type="dcterms:W3CDTF">2020-07-07T02:06:37Z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