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t xml:space="preserve">                                                                       </w:t>
      </w: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（GB/T 19022-2003/ISO 10012:2003）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rPr>
          <w:rFonts w:hint="eastAsia" w:ascii="宋体" w:hAnsi="宋体"/>
          <w:sz w:val="32"/>
          <w:u w:val="single"/>
          <w:lang w:eastAsia="zh-CN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 xml:space="preserve">： </w:t>
      </w:r>
      <w:r>
        <w:rPr>
          <w:rFonts w:hint="eastAsia" w:ascii="宋体" w:hAnsi="宋体"/>
          <w:sz w:val="32"/>
          <w:u w:val="single"/>
        </w:rPr>
        <w:t xml:space="preserve"> 浙江中兴防爆器材有限公司</w:t>
      </w:r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r>
        <w:rPr>
          <w:rFonts w:hint="eastAsia" w:ascii="宋体" w:hAnsi="宋体"/>
          <w:sz w:val="32"/>
          <w:u w:val="single"/>
        </w:rPr>
        <w:t xml:space="preserve">   </w:t>
      </w:r>
      <w:r>
        <w:rPr>
          <w:rFonts w:hint="eastAsia" w:ascii="宋体" w:hAnsi="宋体"/>
          <w:sz w:val="32"/>
          <w:u w:val="single"/>
          <w:lang w:val="en-US" w:eastAsia="zh-CN"/>
        </w:rPr>
        <w:t>0036-2018-2020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hint="eastAsia" w:ascii="宋体" w:hAnsi="宋体"/>
          <w:sz w:val="32"/>
          <w:u w:val="none"/>
        </w:rPr>
        <w:t xml:space="preserve">             </w:t>
      </w:r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u w:val="single"/>
        </w:rPr>
        <w:t xml:space="preserve">      </w:t>
      </w:r>
      <w:r>
        <w:rPr>
          <w:rFonts w:hint="eastAsia" w:ascii="宋体" w:hAnsi="宋体"/>
          <w:sz w:val="32"/>
          <w:u w:val="single"/>
        </w:rPr>
        <w:t>年度监督审核</w:t>
      </w:r>
      <w:r>
        <w:rPr>
          <w:rFonts w:hint="eastAsia" w:ascii="MS PGothic" w:hAnsi="MS PGothic"/>
          <w:sz w:val="32"/>
          <w:u w:val="single"/>
        </w:rPr>
        <w:t xml:space="preserve">        </w:t>
      </w:r>
      <w:r>
        <w:rPr>
          <w:rFonts w:hint="eastAsia" w:ascii="MS PGothic" w:hAnsi="MS PGothic"/>
          <w:sz w:val="32"/>
          <w:u w:val="none"/>
        </w:rPr>
        <w:t xml:space="preserve">     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hint="default" w:ascii="Times New Roman" w:hAnsi="Times New Roman" w:eastAsia="宋体" w:cs="Times New Roman"/>
          <w:bCs/>
          <w:kern w:val="0"/>
          <w:sz w:val="18"/>
          <w:szCs w:val="18"/>
          <w:lang w:val="en-US" w:eastAsia="zh-CN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</w:t>
      </w:r>
      <w:r>
        <w:rPr>
          <w:rFonts w:hint="eastAsia" w:ascii="Times New Roman" w:hAnsi="Times New Roman" w:eastAsia="宋体" w:cs="Times New Roman"/>
          <w:bCs/>
          <w:kern w:val="0"/>
          <w:sz w:val="18"/>
          <w:szCs w:val="18"/>
          <w:u w:val="single"/>
          <w:lang w:val="en-US" w:eastAsia="zh-CN"/>
        </w:rPr>
        <w:t>36-</w:t>
      </w:r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20</w:t>
      </w:r>
      <w:r>
        <w:rPr>
          <w:rFonts w:hint="eastAsia" w:ascii="Times New Roman" w:hAnsi="Times New Roman" w:eastAsia="宋体" w:cs="Times New Roman"/>
          <w:bCs/>
          <w:kern w:val="0"/>
          <w:sz w:val="18"/>
          <w:szCs w:val="18"/>
          <w:u w:val="single"/>
        </w:rPr>
        <w:t>1</w:t>
      </w:r>
      <w:r>
        <w:rPr>
          <w:rFonts w:hint="eastAsia" w:ascii="Times New Roman" w:hAnsi="Times New Roman" w:eastAsia="宋体" w:cs="Times New Roman"/>
          <w:bCs/>
          <w:kern w:val="0"/>
          <w:sz w:val="18"/>
          <w:szCs w:val="18"/>
          <w:u w:val="single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bCs/>
          <w:kern w:val="0"/>
          <w:sz w:val="18"/>
          <w:szCs w:val="18"/>
          <w:u w:val="single"/>
        </w:rPr>
        <w:t>-2</w:t>
      </w:r>
      <w:r>
        <w:rPr>
          <w:rFonts w:hint="eastAsia" w:ascii="Times New Roman" w:hAnsi="Times New Roman" w:eastAsia="宋体" w:cs="Times New Roman"/>
          <w:bCs/>
          <w:kern w:val="0"/>
          <w:sz w:val="18"/>
          <w:szCs w:val="18"/>
          <w:u w:val="single"/>
          <w:lang w:val="en-US" w:eastAsia="zh-CN"/>
        </w:rPr>
        <w:t>020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610"/>
        <w:gridCol w:w="1860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61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</w:rPr>
              <w:t>浙江中兴防爆器材有限公司</w:t>
            </w:r>
          </w:p>
        </w:tc>
        <w:tc>
          <w:tcPr>
            <w:tcW w:w="186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192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陆苏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610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ISC-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2018-0251</w:t>
            </w:r>
          </w:p>
        </w:tc>
        <w:tc>
          <w:tcPr>
            <w:tcW w:w="1860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192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20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610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第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次监督审核</w:t>
            </w:r>
          </w:p>
        </w:tc>
        <w:tc>
          <w:tcPr>
            <w:tcW w:w="1860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w w:val="100"/>
                <w:kern w:val="0"/>
                <w:sz w:val="21"/>
                <w:szCs w:val="21"/>
              </w:rPr>
              <w:t>本次监督时间</w:t>
            </w:r>
          </w:p>
        </w:tc>
        <w:tc>
          <w:tcPr>
            <w:tcW w:w="2192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 w:rightChars="0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w w:val="100"/>
                <w:sz w:val="21"/>
                <w:szCs w:val="21"/>
              </w:rPr>
              <w:t xml:space="preserve"> </w:t>
            </w:r>
            <w:bookmarkStart w:id="0" w:name="审核日期"/>
            <w:r>
              <w:rPr>
                <w:rFonts w:hint="eastAsia"/>
                <w:spacing w:val="-20"/>
                <w:w w:val="100"/>
                <w:sz w:val="21"/>
                <w:szCs w:val="21"/>
              </w:rPr>
              <w:t>20</w:t>
            </w:r>
            <w:r>
              <w:rPr>
                <w:rFonts w:hint="eastAsia"/>
                <w:spacing w:val="-20"/>
                <w:w w:val="1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pacing w:val="-20"/>
                <w:w w:val="100"/>
                <w:sz w:val="21"/>
                <w:szCs w:val="21"/>
              </w:rPr>
              <w:t>年0</w:t>
            </w:r>
            <w:r>
              <w:rPr>
                <w:rFonts w:hint="eastAsia"/>
                <w:spacing w:val="-20"/>
                <w:w w:val="1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pacing w:val="-20"/>
                <w:w w:val="100"/>
                <w:sz w:val="21"/>
                <w:szCs w:val="21"/>
              </w:rPr>
              <w:t>月</w:t>
            </w:r>
            <w:r>
              <w:rPr>
                <w:rFonts w:hint="eastAsia"/>
                <w:spacing w:val="-20"/>
                <w:w w:val="10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/>
                <w:spacing w:val="-20"/>
                <w:w w:val="100"/>
                <w:sz w:val="21"/>
                <w:szCs w:val="21"/>
              </w:rPr>
              <w:t>日 上午至20</w:t>
            </w:r>
            <w:r>
              <w:rPr>
                <w:rFonts w:hint="eastAsia"/>
                <w:spacing w:val="-20"/>
                <w:w w:val="1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pacing w:val="-20"/>
                <w:w w:val="100"/>
                <w:sz w:val="21"/>
                <w:szCs w:val="21"/>
              </w:rPr>
              <w:t>年0</w:t>
            </w:r>
            <w:r>
              <w:rPr>
                <w:rFonts w:hint="eastAsia"/>
                <w:spacing w:val="-20"/>
                <w:w w:val="1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pacing w:val="-20"/>
                <w:w w:val="100"/>
                <w:sz w:val="21"/>
                <w:szCs w:val="21"/>
              </w:rPr>
              <w:t>月</w:t>
            </w:r>
            <w:r>
              <w:rPr>
                <w:rFonts w:hint="eastAsia"/>
                <w:spacing w:val="-20"/>
                <w:w w:val="1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pacing w:val="-20"/>
                <w:w w:val="100"/>
                <w:sz w:val="21"/>
                <w:szCs w:val="21"/>
              </w:rPr>
              <w:t xml:space="preserve">日 </w:t>
            </w:r>
            <w:r>
              <w:rPr>
                <w:rFonts w:hint="eastAsia"/>
                <w:spacing w:val="-20"/>
                <w:w w:val="100"/>
                <w:sz w:val="21"/>
                <w:szCs w:val="21"/>
                <w:lang w:eastAsia="zh-CN"/>
              </w:rPr>
              <w:t>上</w:t>
            </w:r>
            <w:r>
              <w:rPr>
                <w:rFonts w:hint="eastAsia"/>
                <w:spacing w:val="-20"/>
                <w:w w:val="100"/>
                <w:sz w:val="21"/>
                <w:szCs w:val="21"/>
              </w:rPr>
              <w:t>午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姓名及确认号</w:t>
            </w:r>
          </w:p>
        </w:tc>
        <w:tc>
          <w:tcPr>
            <w:tcW w:w="261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王常宁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汪宁艺</w:t>
            </w:r>
            <w:r>
              <w:rPr>
                <w:rFonts w:hint="eastAsia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ISC[S]</w:t>
            </w:r>
            <w:r>
              <w:rPr>
                <w:rFonts w:hint="eastAsia" w:ascii="宋体" w:hAnsi="宋体"/>
                <w:color w:val="auto"/>
                <w:szCs w:val="21"/>
                <w:shd w:val="clear" w:color="auto" w:fill="auto"/>
              </w:rPr>
              <w:t>0297</w:t>
            </w:r>
          </w:p>
        </w:tc>
        <w:tc>
          <w:tcPr>
            <w:tcW w:w="186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19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领导层、技术检验部、生产部、采购部、销售部、行政部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40" w:lineRule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1.一年内违反法律法规或重大事故的情况：</w:t>
      </w:r>
    </w:p>
    <w:p>
      <w:pPr>
        <w:widowControl/>
        <w:spacing w:line="24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 xml:space="preserve">    </w:t>
      </w: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公司建立的测量体系已有两年，为企业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，企业发展稳定</w:t>
      </w:r>
      <w:r>
        <w:rPr>
          <w:rFonts w:hint="eastAsia" w:ascii="宋体" w:hAnsi="宋体"/>
          <w:szCs w:val="21"/>
        </w:rPr>
        <w:t>。</w:t>
      </w:r>
    </w:p>
    <w:p>
      <w:pPr>
        <w:widowControl/>
        <w:numPr>
          <w:ilvl w:val="0"/>
          <w:numId w:val="1"/>
        </w:numPr>
        <w:spacing w:line="24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widowControl/>
        <w:spacing w:line="240" w:lineRule="auto"/>
        <w:ind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为有效评价公司测量管理体系</w:t>
      </w:r>
      <w:r>
        <w:rPr>
          <w:rFonts w:hint="eastAsia" w:asciiTheme="minorEastAsia" w:hAnsiTheme="minorEastAsia"/>
          <w:bCs/>
          <w:szCs w:val="21"/>
          <w:lang w:eastAsia="zh-CN"/>
        </w:rPr>
        <w:t>运行</w:t>
      </w:r>
      <w:r>
        <w:rPr>
          <w:rFonts w:hint="eastAsia" w:asciiTheme="minorEastAsia" w:hAnsiTheme="minorEastAsia"/>
          <w:bCs/>
          <w:szCs w:val="21"/>
        </w:rPr>
        <w:t>一年以来</w:t>
      </w:r>
      <w:r>
        <w:rPr>
          <w:rFonts w:hint="eastAsia" w:asciiTheme="minorEastAsia" w:hAnsiTheme="minorEastAsia"/>
          <w:bCs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szCs w:val="21"/>
        </w:rPr>
        <w:t>情况，在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浙江中兴防爆器材</w:t>
      </w:r>
      <w:r>
        <w:rPr>
          <w:rFonts w:hint="eastAsia" w:asciiTheme="minorEastAsia" w:hAnsiTheme="minorEastAsia"/>
          <w:bCs/>
          <w:szCs w:val="21"/>
          <w:lang w:eastAsia="zh-CN"/>
        </w:rPr>
        <w:t>有限公司</w:t>
      </w:r>
      <w:r>
        <w:rPr>
          <w:rFonts w:hint="eastAsia" w:asciiTheme="minorEastAsia" w:hAnsiTheme="minorEastAsia"/>
          <w:bCs/>
          <w:szCs w:val="21"/>
        </w:rPr>
        <w:t>现场审核中，审核组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分两个组</w:t>
      </w:r>
      <w:r>
        <w:rPr>
          <w:rFonts w:hint="eastAsia" w:asciiTheme="minorEastAsia" w:hAnsiTheme="minorEastAsia"/>
          <w:bCs/>
          <w:szCs w:val="21"/>
        </w:rPr>
        <w:t>抽样检查了涉及公司测量体系内的管理、生产、经营、质量和环境等方面的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5</w:t>
      </w:r>
      <w:r>
        <w:rPr>
          <w:rFonts w:hint="eastAsia" w:asciiTheme="minorEastAsia" w:hAnsiTheme="minorEastAsia"/>
          <w:bCs/>
          <w:szCs w:val="21"/>
        </w:rPr>
        <w:t>个职能部门。重点核查环节有：物料进厂检测、产品质量性能检验和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生产过程</w:t>
      </w:r>
      <w:r>
        <w:rPr>
          <w:rFonts w:hint="eastAsia" w:asciiTheme="minorEastAsia" w:hAnsiTheme="minorEastAsia"/>
          <w:bCs/>
          <w:szCs w:val="21"/>
        </w:rPr>
        <w:t>质量检测及测量设备量值溯源完成情况。公司领导层重视测量管理体系各项工作，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完善了资源的配备。</w:t>
      </w:r>
      <w:r>
        <w:rPr>
          <w:rFonts w:hint="eastAsia" w:asciiTheme="minorEastAsia" w:hAnsiTheme="minorEastAsia"/>
          <w:bCs/>
          <w:szCs w:val="21"/>
        </w:rPr>
        <w:t>公司制定的质量目标，按规定的内容和时间进行考核，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2019</w:t>
      </w:r>
      <w:r>
        <w:rPr>
          <w:rFonts w:hint="eastAsia" w:asciiTheme="minorEastAsia" w:hAnsiTheme="minorEastAsia"/>
          <w:bCs/>
          <w:szCs w:val="21"/>
        </w:rPr>
        <w:t>年度质量目标完成情况较好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浙江中兴防爆器材</w:t>
      </w:r>
      <w:r>
        <w:rPr>
          <w:rFonts w:hint="eastAsia" w:asciiTheme="minorEastAsia" w:hAnsiTheme="minorEastAsia"/>
          <w:bCs/>
          <w:szCs w:val="21"/>
          <w:lang w:eastAsia="zh-CN"/>
        </w:rPr>
        <w:t>有限公司</w:t>
      </w:r>
      <w:r>
        <w:rPr>
          <w:rFonts w:hint="eastAsia" w:asciiTheme="minorEastAsia" w:hAnsiTheme="minorEastAsia"/>
          <w:bCs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企业效益逐年提升明显。</w:t>
      </w:r>
    </w:p>
    <w:p>
      <w:pPr>
        <w:widowControl/>
        <w:numPr>
          <w:ilvl w:val="0"/>
          <w:numId w:val="1"/>
        </w:numPr>
        <w:spacing w:line="240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内部审核和管理评审的情况：</w:t>
      </w:r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 xml:space="preserve"> </w:t>
      </w:r>
      <w:r>
        <w:rPr>
          <w:rFonts w:hint="eastAsia" w:asciiTheme="minorEastAsia" w:hAnsiTheme="minorEastAsia"/>
          <w:bCs/>
          <w:szCs w:val="21"/>
          <w:lang w:val="en-US" w:eastAsia="zh-CN"/>
        </w:rPr>
        <w:t>3.1</w:t>
      </w:r>
      <w:r>
        <w:rPr>
          <w:rFonts w:hint="eastAsia"/>
          <w:color w:val="auto"/>
          <w:szCs w:val="21"/>
        </w:rPr>
        <w:t>公司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于</w:t>
      </w:r>
      <w:r>
        <w:rPr>
          <w:rFonts w:hint="eastAsia" w:ascii="宋体" w:hAnsi="宋体"/>
          <w:bCs/>
          <w:szCs w:val="21"/>
        </w:rPr>
        <w:t>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22</w:t>
      </w:r>
      <w:r>
        <w:rPr>
          <w:rFonts w:hint="eastAsia" w:ascii="宋体" w:hAnsi="宋体"/>
          <w:bCs/>
          <w:szCs w:val="21"/>
        </w:rPr>
        <w:t>日</w:t>
      </w:r>
      <w:r>
        <w:rPr>
          <w:rFonts w:hint="eastAsia" w:asciiTheme="minorEastAsia" w:hAnsiTheme="minorEastAsia"/>
          <w:bCs/>
          <w:color w:val="auto"/>
          <w:szCs w:val="21"/>
        </w:rPr>
        <w:t>，组织了公司测量管理体系内部审核，</w:t>
      </w:r>
      <w:r>
        <w:rPr>
          <w:rFonts w:hint="eastAsia" w:ascii="宋体" w:hAnsi="宋体"/>
          <w:bCs/>
          <w:szCs w:val="21"/>
        </w:rPr>
        <w:t>内审组对公司包括管理层在内的</w:t>
      </w:r>
      <w:r>
        <w:rPr>
          <w:rFonts w:hint="eastAsia" w:ascii="宋体" w:hAnsi="宋体"/>
          <w:bCs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个职能部门及生产车间进行了全要素的审核。本次内部审核发现1个不符合项，涉及部门</w:t>
      </w:r>
      <w:r>
        <w:rPr>
          <w:rFonts w:hint="eastAsia" w:eastAsia="新宋体"/>
          <w:sz w:val="21"/>
          <w:szCs w:val="21"/>
          <w:lang w:eastAsia="zh-CN"/>
        </w:rPr>
        <w:t>技术质量部</w:t>
      </w:r>
      <w:r>
        <w:rPr>
          <w:rFonts w:hint="eastAsia" w:ascii="宋体" w:hAnsi="宋体"/>
          <w:bCs/>
          <w:szCs w:val="21"/>
        </w:rPr>
        <w:t>，已制定了相关的预防纠正措施，并在规定时间内，完成整改工作，不符合项已关闭。</w:t>
      </w:r>
    </w:p>
    <w:p>
      <w:pPr>
        <w:widowControl/>
        <w:spacing w:line="240" w:lineRule="auto"/>
        <w:ind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3.2、公司的测量体系管理评审：</w:t>
      </w:r>
    </w:p>
    <w:p>
      <w:pPr>
        <w:widowControl/>
        <w:spacing w:line="240" w:lineRule="auto"/>
        <w:ind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/>
          <w:szCs w:val="21"/>
        </w:rPr>
        <w:t>公司于</w:t>
      </w:r>
      <w:r>
        <w:rPr>
          <w:rFonts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10</w:t>
      </w:r>
      <w:r>
        <w:rPr>
          <w:rFonts w:hint="eastAsia" w:ascii="宋体" w:hAnsi="宋体"/>
          <w:szCs w:val="21"/>
        </w:rPr>
        <w:t>日，组织了测量体系管理评审</w:t>
      </w:r>
      <w:r>
        <w:rPr>
          <w:rFonts w:hint="eastAsia" w:asciiTheme="minorEastAsia" w:hAnsiTheme="minorEastAsia"/>
          <w:bCs/>
          <w:szCs w:val="21"/>
        </w:rPr>
        <w:t>，</w:t>
      </w:r>
      <w:r>
        <w:rPr>
          <w:rFonts w:hint="eastAsia" w:asciiTheme="minorEastAsia" w:hAnsiTheme="minorEastAsia"/>
          <w:bCs/>
          <w:szCs w:val="21"/>
          <w:lang w:eastAsia="zh-CN"/>
        </w:rPr>
        <w:t>会议</w:t>
      </w:r>
      <w:r>
        <w:rPr>
          <w:rFonts w:hint="eastAsia" w:asciiTheme="minorEastAsia" w:hAnsiTheme="minorEastAsia"/>
          <w:bCs/>
          <w:szCs w:val="21"/>
        </w:rPr>
        <w:t>由总经理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陆苏</w:t>
      </w:r>
      <w:r>
        <w:rPr>
          <w:rFonts w:hint="eastAsia" w:asciiTheme="minorEastAsia" w:hAnsiTheme="minorEastAsia"/>
          <w:bCs/>
          <w:color w:val="auto"/>
          <w:szCs w:val="21"/>
        </w:rPr>
        <w:t>主</w:t>
      </w:r>
      <w:r>
        <w:rPr>
          <w:rFonts w:hint="eastAsia" w:asciiTheme="minorEastAsia" w:hAnsiTheme="minorEastAsia"/>
          <w:bCs/>
          <w:szCs w:val="21"/>
        </w:rPr>
        <w:t>持，公司召集测量管理体系职能部门和</w:t>
      </w:r>
      <w:r>
        <w:rPr>
          <w:rFonts w:hint="eastAsia" w:asciiTheme="minorEastAsia" w:hAnsiTheme="minorEastAsia"/>
          <w:bCs/>
          <w:szCs w:val="21"/>
          <w:lang w:eastAsia="zh-CN"/>
        </w:rPr>
        <w:t>相关部门领导</w:t>
      </w:r>
      <w:r>
        <w:rPr>
          <w:rFonts w:hint="eastAsia" w:asciiTheme="minorEastAsia" w:hAnsiTheme="minorEastAsia"/>
          <w:bCs/>
          <w:szCs w:val="21"/>
        </w:rPr>
        <w:t>参加的评审会议。会议对公司内审和体系运行过程中</w:t>
      </w:r>
      <w:r>
        <w:rPr>
          <w:rFonts w:hint="eastAsia" w:asciiTheme="minorEastAsia" w:hAnsiTheme="minorEastAsia"/>
          <w:bCs/>
          <w:szCs w:val="21"/>
          <w:lang w:eastAsia="zh-CN"/>
        </w:rPr>
        <w:t>发现的问题，</w:t>
      </w:r>
      <w:r>
        <w:rPr>
          <w:rFonts w:hint="eastAsia" w:asciiTheme="minorEastAsia" w:hAnsiTheme="minorEastAsia"/>
          <w:bCs/>
          <w:szCs w:val="21"/>
        </w:rPr>
        <w:t>顾客反馈的信息</w:t>
      </w:r>
      <w:r>
        <w:rPr>
          <w:rFonts w:hint="eastAsia" w:asciiTheme="minorEastAsia" w:hAnsiTheme="minorEastAsia"/>
          <w:bCs/>
          <w:szCs w:val="21"/>
          <w:lang w:eastAsia="zh-CN"/>
        </w:rPr>
        <w:t>及处理</w:t>
      </w:r>
      <w:r>
        <w:rPr>
          <w:rFonts w:hint="eastAsia" w:asciiTheme="minorEastAsia" w:hAnsiTheme="minorEastAsia"/>
          <w:bCs/>
          <w:szCs w:val="21"/>
        </w:rPr>
        <w:t>、预防措施落实和完成情况，</w:t>
      </w:r>
      <w:r>
        <w:rPr>
          <w:rFonts w:hint="eastAsia" w:asciiTheme="minorEastAsia" w:hAnsiTheme="minorEastAsia"/>
          <w:bCs/>
          <w:szCs w:val="21"/>
          <w:lang w:eastAsia="zh-CN"/>
        </w:rPr>
        <w:t>计量方针、目标实施情况，</w:t>
      </w:r>
      <w:r>
        <w:rPr>
          <w:rFonts w:hint="eastAsia" w:asciiTheme="minorEastAsia" w:hAnsiTheme="minorEastAsia"/>
          <w:bCs/>
          <w:szCs w:val="21"/>
        </w:rPr>
        <w:t>提出评审报告。管理评审结论为：公司测量管理体系有效运行，符合GB/T 19022-2003标准要</w:t>
      </w:r>
      <w:r>
        <w:rPr>
          <w:rFonts w:hint="eastAsia" w:asciiTheme="minorEastAsia" w:hAnsiTheme="minorEastAsia"/>
          <w:bCs/>
          <w:szCs w:val="21"/>
          <w:lang w:val="en-US" w:eastAsia="zh-CN"/>
        </w:rPr>
        <w:t xml:space="preserve">求，为企业的快速发展起到了积极作用。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</w:t>
      </w:r>
    </w:p>
    <w:p>
      <w:pPr>
        <w:widowControl/>
        <w:numPr>
          <w:ilvl w:val="0"/>
          <w:numId w:val="1"/>
        </w:numPr>
        <w:spacing w:line="240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为持续改进而策划的活动的进展</w:t>
      </w:r>
      <w:r>
        <w:rPr>
          <w:rFonts w:hint="eastAsia" w:cs="宋体" w:asciiTheme="minorEastAsia" w:hAnsiTheme="minorEastAsia"/>
          <w:bCs/>
          <w:kern w:val="0"/>
          <w:szCs w:val="21"/>
        </w:rPr>
        <w:t xml:space="preserve"> 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widowControl/>
        <w:spacing w:line="240" w:lineRule="auto"/>
        <w:ind w:firstLine="420" w:firstLineChars="200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="宋体" w:hAnsi="宋体"/>
          <w:szCs w:val="21"/>
        </w:rPr>
        <w:t>企业</w:t>
      </w:r>
      <w:r>
        <w:rPr>
          <w:rFonts w:hint="eastAsia" w:ascii="宋体" w:hAnsi="宋体" w:cs="宋体"/>
          <w:color w:val="000000"/>
          <w:kern w:val="0"/>
          <w:szCs w:val="21"/>
        </w:rPr>
        <w:t>新增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关键</w:t>
      </w:r>
      <w:r>
        <w:rPr>
          <w:rFonts w:hint="eastAsia" w:ascii="宋体" w:hAnsi="宋体" w:cs="宋体"/>
          <w:kern w:val="0"/>
          <w:szCs w:val="21"/>
        </w:rPr>
        <w:t>测量过程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1项</w:t>
      </w:r>
      <w:r>
        <w:rPr>
          <w:rFonts w:hint="eastAsia" w:ascii="宋体" w:hAnsi="宋体"/>
          <w:color w:val="auto"/>
          <w:u w:val="none"/>
          <w:lang w:val="en-US" w:eastAsia="zh-CN"/>
        </w:rPr>
        <w:t>“橡胶垫圈硬度检验测量过程”。</w:t>
      </w:r>
      <w:r>
        <w:rPr>
          <w:rFonts w:hint="eastAsia" w:ascii="宋体" w:hAnsi="宋体"/>
          <w:szCs w:val="21"/>
        </w:rPr>
        <w:t>目前已识别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32</w:t>
      </w:r>
      <w:r>
        <w:rPr>
          <w:rFonts w:hint="eastAsia" w:ascii="宋体" w:hAnsi="宋体" w:cs="宋体"/>
          <w:color w:val="auto"/>
          <w:kern w:val="0"/>
          <w:szCs w:val="21"/>
        </w:rPr>
        <w:t>个测量过程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个关键测量过程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Theme="minorEastAsia" w:hAnsiTheme="minorEastAsia"/>
          <w:bCs/>
          <w:color w:val="auto"/>
          <w:szCs w:val="21"/>
        </w:rPr>
        <w:t>有测量设备的计量确认过程，测量设备配备合理，验证方法、现场标识满足要求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，有连续监视控制统计图和测量过程有效性确认记录</w:t>
      </w:r>
      <w:r>
        <w:rPr>
          <w:rFonts w:hint="eastAsia" w:asciiTheme="minorEastAsia" w:hAnsiTheme="minorEastAsia"/>
          <w:bCs/>
          <w:color w:val="auto"/>
          <w:szCs w:val="21"/>
        </w:rPr>
        <w:t>。测量过程计量要求导出验证方法正确，计量验证记录齐全，符合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体系中相关</w:t>
      </w:r>
      <w:r>
        <w:rPr>
          <w:rFonts w:hint="eastAsia" w:asciiTheme="minorEastAsia" w:hAnsiTheme="minorEastAsia"/>
          <w:bCs/>
          <w:color w:val="auto"/>
          <w:szCs w:val="21"/>
        </w:rPr>
        <w:t>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高度控制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进行了测量不确定度评定，评定方法正确，内容详见附件“</w:t>
      </w:r>
      <w:r>
        <w:rPr>
          <w:rFonts w:hint="eastAsia" w:ascii="宋体" w:hAnsi="宋体"/>
          <w:color w:val="auto"/>
          <w:u w:val="none"/>
          <w:lang w:val="en-US" w:eastAsia="zh-CN"/>
        </w:rPr>
        <w:t>橡胶垫圈硬度检验测量过程</w:t>
      </w:r>
      <w:r>
        <w:rPr>
          <w:rFonts w:hint="eastAsia" w:asciiTheme="minorEastAsia" w:hAnsiTheme="minorEastAsia"/>
          <w:bCs/>
          <w:color w:val="auto"/>
          <w:szCs w:val="21"/>
        </w:rPr>
        <w:t>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widowControl/>
        <w:numPr>
          <w:ilvl w:val="0"/>
          <w:numId w:val="1"/>
        </w:numPr>
        <w:spacing w:line="240" w:lineRule="auto"/>
        <w:ind w:left="0" w:leftChars="0" w:firstLine="0" w:firstLineChars="0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：</w:t>
      </w:r>
    </w:p>
    <w:p>
      <w:pPr>
        <w:shd w:val="clear" w:color="auto" w:fill="FFFFFF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5.1上次审核</w:t>
      </w:r>
      <w:r>
        <w:rPr>
          <w:rFonts w:hint="eastAsia" w:ascii="宋体" w:hAnsi="宋体" w:cs="宋体"/>
          <w:kern w:val="0"/>
          <w:szCs w:val="21"/>
          <w:lang w:eastAsia="zh-CN"/>
        </w:rPr>
        <w:t>时没有提出</w:t>
      </w:r>
      <w:r>
        <w:rPr>
          <w:rFonts w:hint="eastAsia" w:ascii="宋体" w:hAnsi="宋体" w:cs="宋体"/>
          <w:kern w:val="0"/>
          <w:szCs w:val="21"/>
        </w:rPr>
        <w:t>不符合项，</w:t>
      </w:r>
      <w:r>
        <w:rPr>
          <w:rFonts w:hint="eastAsia" w:ascii="宋体" w:hAnsi="宋体" w:cs="宋体"/>
          <w:kern w:val="0"/>
          <w:szCs w:val="21"/>
          <w:lang w:eastAsia="zh-CN"/>
        </w:rPr>
        <w:t>提出建议项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3项，</w:t>
      </w:r>
      <w:r>
        <w:rPr>
          <w:rFonts w:hint="eastAsia" w:ascii="宋体" w:hAnsi="宋体" w:eastAsia="宋体" w:cs="宋体"/>
          <w:szCs w:val="21"/>
          <w:lang w:eastAsia="zh-CN"/>
        </w:rPr>
        <w:t>公司对这</w:t>
      </w:r>
      <w:r>
        <w:rPr>
          <w:rFonts w:hint="eastAsia" w:ascii="宋体" w:hAnsi="宋体" w:eastAsia="宋体" w:cs="宋体"/>
          <w:szCs w:val="21"/>
          <w:lang w:val="en-US" w:eastAsia="zh-CN"/>
        </w:rPr>
        <w:t>3个</w:t>
      </w:r>
      <w:r>
        <w:rPr>
          <w:rFonts w:hint="eastAsia" w:ascii="宋体" w:hAnsi="宋体" w:eastAsia="宋体" w:cs="宋体"/>
          <w:szCs w:val="21"/>
          <w:lang w:eastAsia="zh-CN"/>
        </w:rPr>
        <w:t>建议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项</w:t>
      </w:r>
      <w:r>
        <w:rPr>
          <w:rFonts w:hint="eastAsia" w:ascii="宋体" w:hAnsi="宋体" w:eastAsia="宋体" w:cs="宋体"/>
          <w:bCs/>
          <w:szCs w:val="21"/>
          <w:lang w:eastAsia="zh-CN"/>
        </w:rPr>
        <w:t>比较重视，采取了相应有效的措施。</w:t>
      </w:r>
      <w:r>
        <w:rPr>
          <w:rFonts w:hint="eastAsia" w:ascii="宋体" w:hAnsi="宋体" w:eastAsia="宋体" w:cs="宋体"/>
          <w:bCs/>
          <w:color w:val="auto"/>
          <w:szCs w:val="21"/>
        </w:rPr>
        <w:t>经本次现场审核</w:t>
      </w:r>
      <w:r>
        <w:rPr>
          <w:rFonts w:hint="eastAsia" w:ascii="宋体" w:hAnsi="宋体" w:eastAsia="宋体" w:cs="宋体"/>
          <w:color w:val="auto"/>
          <w:szCs w:val="21"/>
        </w:rPr>
        <w:t>，</w:t>
      </w:r>
      <w:r>
        <w:rPr>
          <w:rFonts w:hint="eastAsia" w:ascii="宋体" w:hAnsi="宋体" w:eastAsia="宋体" w:cs="宋体"/>
          <w:szCs w:val="21"/>
        </w:rPr>
        <w:t>确认公司</w:t>
      </w:r>
      <w:r>
        <w:rPr>
          <w:rFonts w:hint="eastAsia" w:ascii="宋体" w:hAnsi="宋体" w:eastAsia="宋体" w:cs="宋体"/>
          <w:bCs/>
          <w:szCs w:val="21"/>
          <w:lang w:eastAsia="zh-CN"/>
        </w:rPr>
        <w:t>对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上次审核</w:t>
      </w:r>
      <w:r>
        <w:rPr>
          <w:rFonts w:hint="eastAsia" w:ascii="宋体" w:hAnsi="宋体" w:cs="宋体"/>
          <w:kern w:val="0"/>
          <w:szCs w:val="21"/>
          <w:lang w:eastAsia="zh-CN"/>
        </w:rPr>
        <w:t>时提出的建议</w:t>
      </w:r>
      <w:r>
        <w:rPr>
          <w:rFonts w:hint="eastAsia" w:ascii="宋体" w:hAnsi="宋体" w:eastAsia="宋体" w:cs="宋体"/>
          <w:bCs/>
          <w:szCs w:val="21"/>
        </w:rPr>
        <w:t>项，所采取的</w:t>
      </w:r>
      <w:r>
        <w:rPr>
          <w:rFonts w:hint="eastAsia" w:ascii="宋体" w:hAnsi="宋体" w:eastAsia="宋体" w:cs="宋体"/>
          <w:szCs w:val="21"/>
          <w:lang w:eastAsia="zh-CN"/>
        </w:rPr>
        <w:t>预防纠正</w:t>
      </w:r>
      <w:r>
        <w:rPr>
          <w:rFonts w:hint="eastAsia" w:ascii="宋体" w:hAnsi="宋体" w:eastAsia="宋体" w:cs="宋体"/>
          <w:szCs w:val="21"/>
        </w:rPr>
        <w:t>措施有效</w:t>
      </w:r>
      <w:r>
        <w:rPr>
          <w:rFonts w:hint="eastAsia" w:ascii="宋体" w:hAnsi="宋体" w:eastAsia="宋体" w:cs="宋体"/>
          <w:bCs/>
          <w:szCs w:val="21"/>
        </w:rPr>
        <w:t>。</w:t>
      </w:r>
      <w:r>
        <w:rPr>
          <w:rFonts w:hint="eastAsia" w:ascii="宋体" w:hAnsi="宋体"/>
          <w:bCs/>
          <w:szCs w:val="21"/>
          <w:lang w:eastAsia="zh-CN"/>
        </w:rPr>
        <w:t>公司在体系运行中</w:t>
      </w:r>
      <w:r>
        <w:rPr>
          <w:rFonts w:hint="eastAsia" w:ascii="宋体" w:hAnsi="宋体"/>
          <w:bCs/>
          <w:szCs w:val="21"/>
        </w:rPr>
        <w:t>能</w:t>
      </w:r>
      <w:r>
        <w:rPr>
          <w:rFonts w:hint="eastAsia" w:ascii="宋体" w:hAnsi="宋体"/>
          <w:szCs w:val="21"/>
        </w:rPr>
        <w:t>按</w:t>
      </w:r>
      <w:r>
        <w:rPr>
          <w:rFonts w:hint="eastAsia" w:ascii="宋体" w:hAnsi="宋体"/>
          <w:szCs w:val="21"/>
          <w:lang w:eastAsia="zh-CN"/>
        </w:rPr>
        <w:t>照</w:t>
      </w:r>
      <w:r>
        <w:rPr>
          <w:rFonts w:hint="eastAsia" w:ascii="宋体" w:hAnsi="宋体"/>
          <w:szCs w:val="21"/>
        </w:rPr>
        <w:t>预防纠正措施认真进行自查自纠，不断完善体系的管理</w:t>
      </w:r>
      <w:r>
        <w:rPr>
          <w:rFonts w:hint="eastAsia" w:ascii="宋体" w:hAnsi="宋体"/>
          <w:szCs w:val="21"/>
          <w:lang w:eastAsia="zh-CN"/>
        </w:rPr>
        <w:t>水平</w:t>
      </w:r>
      <w:r>
        <w:rPr>
          <w:rFonts w:hint="eastAsia" w:ascii="宋体" w:hAnsi="宋体"/>
          <w:bCs/>
          <w:szCs w:val="21"/>
        </w:rPr>
        <w:t>。</w:t>
      </w:r>
    </w:p>
    <w:p>
      <w:pPr>
        <w:shd w:val="clear" w:color="auto" w:fill="FFFFFF"/>
        <w:spacing w:line="240" w:lineRule="auto"/>
        <w:ind w:firstLine="420" w:firstLineChars="200"/>
        <w:rPr>
          <w:rFonts w:hint="eastAsia" w:ascii="宋体" w:hAnsi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5.2</w:t>
      </w:r>
      <w:r>
        <w:rPr>
          <w:rFonts w:hint="eastAsia" w:ascii="宋体" w:hAnsi="宋体"/>
          <w:color w:val="000000"/>
          <w:szCs w:val="21"/>
          <w:lang w:eastAsia="zh-CN"/>
        </w:rPr>
        <w:t>本次审核出具一般不符合项</w:t>
      </w:r>
      <w:r>
        <w:rPr>
          <w:rFonts w:hint="eastAsia" w:ascii="宋体" w:hAnsi="宋体"/>
          <w:color w:val="000000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  <w:lang w:eastAsia="zh-CN"/>
        </w:rPr>
        <w:t>项，未发现严重的或系统性的不符合情况。</w:t>
      </w:r>
    </w:p>
    <w:p>
      <w:pPr>
        <w:ind w:firstLine="420" w:firstLineChars="200"/>
        <w:rPr>
          <w:rFonts w:hint="eastAsia" w:ascii="宋体" w:cs="宋体" w:eastAsiaTheme="minorEastAsia"/>
          <w:kern w:val="0"/>
          <w:szCs w:val="21"/>
          <w:u w:val="single"/>
          <w:lang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>查：</w:t>
      </w:r>
      <w:r>
        <w:rPr>
          <w:rFonts w:hint="eastAsia"/>
          <w:szCs w:val="21"/>
          <w:u w:val="single"/>
        </w:rPr>
        <w:t>编号为</w:t>
      </w:r>
      <w:r>
        <w:rPr>
          <w:szCs w:val="21"/>
          <w:u w:val="single"/>
        </w:rPr>
        <w:t>ZX/JYJL-0</w:t>
      </w:r>
      <w:r>
        <w:rPr>
          <w:rFonts w:hint="eastAsia"/>
          <w:szCs w:val="21"/>
          <w:u w:val="single"/>
          <w:lang w:val="en-US" w:eastAsia="zh-CN"/>
        </w:rPr>
        <w:t>2</w:t>
      </w:r>
      <w:r>
        <w:rPr>
          <w:rFonts w:hint="eastAsia"/>
          <w:szCs w:val="21"/>
          <w:u w:val="single"/>
          <w:lang w:eastAsia="zh-CN"/>
        </w:rPr>
        <w:t>隔爆型防爆灯出厂检验报告</w:t>
      </w:r>
      <w:r>
        <w:rPr>
          <w:rFonts w:hint="eastAsia"/>
          <w:szCs w:val="21"/>
          <w:u w:val="single"/>
        </w:rPr>
        <w:t>，检验人员：</w:t>
      </w:r>
      <w:r>
        <w:rPr>
          <w:rFonts w:hint="eastAsia"/>
          <w:szCs w:val="21"/>
          <w:u w:val="single"/>
          <w:lang w:eastAsia="zh-CN"/>
        </w:rPr>
        <w:t>丁知敏</w:t>
      </w:r>
      <w:r>
        <w:rPr>
          <w:rFonts w:hint="eastAsia"/>
          <w:szCs w:val="21"/>
          <w:u w:val="single"/>
          <w:lang w:val="en-US" w:eastAsia="zh-CN"/>
        </w:rPr>
        <w:t xml:space="preserve"> </w:t>
      </w:r>
      <w:r>
        <w:rPr>
          <w:rFonts w:hint="eastAsia"/>
          <w:szCs w:val="21"/>
          <w:u w:val="single"/>
        </w:rPr>
        <w:t>；</w:t>
      </w:r>
      <w:r>
        <w:rPr>
          <w:rFonts w:hint="eastAsia"/>
          <w:szCs w:val="21"/>
          <w:u w:val="single"/>
          <w:lang w:eastAsia="zh-CN"/>
        </w:rPr>
        <w:t>批准：李致东，</w:t>
      </w:r>
      <w:r>
        <w:rPr>
          <w:rFonts w:hint="eastAsia"/>
          <w:szCs w:val="21"/>
          <w:u w:val="single"/>
        </w:rPr>
        <w:t>日期</w:t>
      </w:r>
      <w:r>
        <w:rPr>
          <w:rFonts w:hint="eastAsia"/>
          <w:szCs w:val="21"/>
          <w:u w:val="single"/>
          <w:lang w:val="en-US" w:eastAsia="zh-CN"/>
        </w:rPr>
        <w:t xml:space="preserve"> </w:t>
      </w:r>
      <w:r>
        <w:rPr>
          <w:rFonts w:hint="eastAsia"/>
          <w:szCs w:val="21"/>
          <w:u w:val="single"/>
        </w:rPr>
        <w:t>：</w:t>
      </w:r>
      <w:r>
        <w:rPr>
          <w:szCs w:val="21"/>
          <w:u w:val="single"/>
        </w:rPr>
        <w:t>201</w:t>
      </w:r>
      <w:r>
        <w:rPr>
          <w:rFonts w:hint="eastAsia"/>
          <w:szCs w:val="21"/>
          <w:u w:val="single"/>
          <w:lang w:val="en-US" w:eastAsia="zh-CN"/>
        </w:rPr>
        <w:t>9.8.6</w:t>
      </w:r>
      <w:r>
        <w:rPr>
          <w:rFonts w:hint="eastAsia"/>
          <w:szCs w:val="21"/>
          <w:u w:val="single"/>
        </w:rPr>
        <w:t>，法定计量单位</w:t>
      </w:r>
      <w:r>
        <w:rPr>
          <w:rFonts w:hint="eastAsia"/>
          <w:szCs w:val="21"/>
          <w:u w:val="single"/>
          <w:lang w:val="en-US" w:eastAsia="zh-CN"/>
        </w:rPr>
        <w:t>(MPa)等，</w:t>
      </w:r>
      <w:r>
        <w:rPr>
          <w:rFonts w:hint="eastAsia"/>
          <w:szCs w:val="21"/>
          <w:u w:val="single"/>
        </w:rPr>
        <w:t>大小写不规范。</w:t>
      </w:r>
      <w:r>
        <w:rPr>
          <w:rFonts w:hint="eastAsia"/>
          <w:szCs w:val="21"/>
          <w:u w:val="single"/>
          <w:lang w:eastAsia="zh-CN"/>
        </w:rPr>
        <w:t>不符合</w:t>
      </w:r>
      <w:r>
        <w:rPr>
          <w:rFonts w:hint="eastAsia"/>
          <w:szCs w:val="21"/>
          <w:u w:val="single"/>
          <w:lang w:val="en-US" w:eastAsia="zh-CN"/>
        </w:rPr>
        <w:t>G</w:t>
      </w:r>
      <w:r>
        <w:rPr>
          <w:rFonts w:ascii="宋体" w:hAnsi="宋体" w:cs="宋体"/>
          <w:kern w:val="0"/>
          <w:szCs w:val="21"/>
          <w:u w:val="single"/>
        </w:rPr>
        <w:t>B/T19022-2003</w:t>
      </w:r>
      <w:r>
        <w:rPr>
          <w:rFonts w:hint="eastAsia" w:ascii="宋体" w:hAnsi="宋体" w:cs="宋体"/>
          <w:kern w:val="0"/>
          <w:szCs w:val="21"/>
          <w:u w:val="single"/>
        </w:rPr>
        <w:t>第</w:t>
      </w:r>
      <w:r>
        <w:rPr>
          <w:rFonts w:ascii="宋体" w:hAnsi="宋体" w:cs="宋体"/>
          <w:kern w:val="0"/>
          <w:szCs w:val="21"/>
          <w:u w:val="single"/>
        </w:rPr>
        <w:t xml:space="preserve">6.2.3 </w:t>
      </w:r>
      <w:r>
        <w:rPr>
          <w:rFonts w:hint="eastAsia" w:ascii="宋体" w:hAnsi="宋体" w:cs="宋体"/>
          <w:kern w:val="0"/>
          <w:szCs w:val="21"/>
          <w:u w:val="single"/>
        </w:rPr>
        <w:t>记录条款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240" w:lineRule="auto"/>
        <w:ind w:left="0" w:leftChars="0" w:firstLine="0" w:firstLineChars="0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对</w:t>
      </w:r>
      <w:r>
        <w:rPr>
          <w:rFonts w:hint="eastAsia" w:asciiTheme="minorEastAsia" w:hAnsiTheme="minorEastAsia"/>
          <w:bCs/>
          <w:color w:val="auto"/>
          <w:szCs w:val="21"/>
        </w:rPr>
        <w:t>投诉的处理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40" w:lineRule="auto"/>
        <w:ind w:firstLine="420" w:firstLineChars="200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1"/>
        </w:numPr>
        <w:spacing w:line="240" w:lineRule="auto"/>
        <w:ind w:left="0" w:leftChars="0" w:firstLine="0" w:firstLineChars="0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情况：</w:t>
      </w:r>
    </w:p>
    <w:p>
      <w:pPr>
        <w:widowControl/>
        <w:spacing w:line="240" w:lineRule="auto"/>
        <w:ind w:firstLine="420"/>
        <w:rPr>
          <w:rFonts w:hint="eastAsia" w:asciiTheme="minorEastAsia" w:hAnsiTheme="minorEastAsia"/>
          <w:bCs/>
          <w:color w:val="auto"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公司《计量工作质量目标管理程序》，规定了公司的计量方针及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5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项质量目标 ，每年年底进行考核。201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年度，公司质量目标达到要求，符合GB/T 19022-2003标准要求，具有动态性和适应性的持续运作控制。</w:t>
      </w:r>
    </w:p>
    <w:p>
      <w:pPr>
        <w:ind w:firstLine="420" w:firstLineChars="200"/>
        <w:rPr>
          <w:rFonts w:hint="default" w:asciiTheme="minorEastAsia" w:hAnsiTheme="minorEastAsia"/>
          <w:bCs/>
          <w:color w:val="auto"/>
          <w:szCs w:val="21"/>
          <w:lang w:val="en-US"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对产品质量的评价，内部顾客对测量设备管理的评价，来获证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  <w:r>
        <w:rPr>
          <w:rFonts w:hint="eastAsia" w:ascii="宋体" w:hAnsi="宋体"/>
          <w:color w:val="auto"/>
          <w:szCs w:val="21"/>
          <w:lang w:val="en-US" w:eastAsia="zh-CN"/>
        </w:rPr>
        <w:t>2019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szCs w:val="21"/>
          <w:lang w:eastAsia="zh-CN"/>
        </w:rPr>
        <w:t>统计</w:t>
      </w:r>
      <w:r>
        <w:rPr>
          <w:rFonts w:hint="eastAsia" w:ascii="宋体" w:hAnsi="宋体"/>
          <w:szCs w:val="21"/>
        </w:rPr>
        <w:t>内部顾客</w:t>
      </w:r>
      <w:r>
        <w:rPr>
          <w:rFonts w:hint="eastAsia" w:ascii="宋体" w:hAnsi="宋体"/>
          <w:szCs w:val="21"/>
          <w:lang w:eastAsia="zh-CN"/>
        </w:rPr>
        <w:t>对测量设备</w:t>
      </w:r>
      <w:r>
        <w:rPr>
          <w:rFonts w:hint="eastAsia" w:ascii="宋体" w:hAnsi="宋体"/>
          <w:color w:val="auto"/>
          <w:szCs w:val="21"/>
          <w:lang w:eastAsia="zh-CN"/>
        </w:rPr>
        <w:t>配备、使用、管理等方面的</w:t>
      </w:r>
      <w:r>
        <w:rPr>
          <w:rFonts w:hint="eastAsia" w:ascii="宋体" w:hAnsi="宋体"/>
          <w:color w:val="auto"/>
          <w:szCs w:val="21"/>
        </w:rPr>
        <w:t>满意率</w:t>
      </w:r>
      <w:r>
        <w:rPr>
          <w:rFonts w:hint="eastAsia" w:ascii="宋体" w:hAnsi="宋体"/>
          <w:color w:val="auto"/>
          <w:szCs w:val="21"/>
          <w:lang w:eastAsia="zh-CN"/>
        </w:rPr>
        <w:t>为</w:t>
      </w:r>
      <w:r>
        <w:rPr>
          <w:rFonts w:ascii="宋体" w:hAnsi="宋体"/>
          <w:color w:val="auto"/>
          <w:szCs w:val="21"/>
        </w:rPr>
        <w:t>9</w:t>
      </w:r>
      <w:r>
        <w:rPr>
          <w:rFonts w:hint="eastAsia" w:ascii="宋体" w:hAnsi="宋体"/>
          <w:color w:val="auto"/>
          <w:szCs w:val="21"/>
          <w:lang w:val="en-US" w:eastAsia="zh-CN"/>
        </w:rPr>
        <w:t>7</w:t>
      </w:r>
      <w:r>
        <w:rPr>
          <w:rFonts w:hint="eastAsia" w:ascii="宋体" w:hAnsi="宋体"/>
          <w:color w:val="auto"/>
          <w:szCs w:val="21"/>
        </w:rPr>
        <w:t>%</w:t>
      </w:r>
      <w:r>
        <w:rPr>
          <w:rFonts w:hint="eastAsia" w:ascii="宋体" w:hAnsi="宋体"/>
          <w:color w:val="auto"/>
          <w:szCs w:val="21"/>
          <w:lang w:eastAsia="zh-CN"/>
        </w:rPr>
        <w:t>，</w:t>
      </w:r>
      <w:r>
        <w:rPr>
          <w:rFonts w:hint="eastAsia" w:ascii="宋体" w:hAnsi="宋体"/>
          <w:color w:val="auto"/>
          <w:szCs w:val="21"/>
          <w:lang w:val="en-US" w:eastAsia="zh-CN"/>
        </w:rPr>
        <w:t>2019年统计</w:t>
      </w:r>
      <w:r>
        <w:rPr>
          <w:rFonts w:hint="eastAsia" w:ascii="宋体" w:hAnsi="宋体"/>
          <w:color w:val="auto"/>
          <w:szCs w:val="21"/>
        </w:rPr>
        <w:t>外部顾客对产品质量满意率</w:t>
      </w:r>
      <w:r>
        <w:rPr>
          <w:rFonts w:hint="eastAsia" w:ascii="宋体" w:hAnsi="宋体"/>
          <w:color w:val="auto"/>
          <w:szCs w:val="21"/>
          <w:lang w:val="en-US" w:eastAsia="zh-CN"/>
        </w:rPr>
        <w:t>95</w:t>
      </w:r>
      <w:r>
        <w:rPr>
          <w:rFonts w:hint="eastAsia" w:ascii="宋体" w:hAnsi="宋体"/>
          <w:color w:val="auto"/>
          <w:szCs w:val="21"/>
        </w:rPr>
        <w:t>%。</w:t>
      </w:r>
    </w:p>
    <w:p>
      <w:pPr>
        <w:widowControl/>
        <w:spacing w:line="240" w:lineRule="auto"/>
        <w:rPr>
          <w:rFonts w:hint="eastAsia" w:ascii="宋体" w:hAnsi="宋体" w:cs="宋体"/>
          <w:bCs/>
          <w:color w:val="auto"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8.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对企业组织任何变更的审核</w:t>
      </w:r>
    </w:p>
    <w:p>
      <w:pPr>
        <w:widowControl/>
        <w:spacing w:line="240" w:lineRule="auto"/>
        <w:ind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公司在测量管理体系实现认证运行期间，企业组织结构没有任何变更。</w:t>
      </w:r>
    </w:p>
    <w:p>
      <w:pPr>
        <w:widowControl/>
        <w:numPr>
          <w:ilvl w:val="0"/>
          <w:numId w:val="0"/>
        </w:numPr>
        <w:spacing w:line="240" w:lineRule="auto"/>
        <w:ind w:leftChars="0"/>
        <w:rPr>
          <w:rFonts w:cs="宋体" w:asciiTheme="minorEastAsia" w:hAnsiTheme="minorEastAsia"/>
          <w:bCs/>
          <w:color w:val="auto"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9.</w:t>
      </w:r>
      <w:r>
        <w:rPr>
          <w:rFonts w:hint="eastAsia" w:asciiTheme="minorEastAsia" w:hAnsiTheme="minorEastAsia"/>
          <w:bCs/>
          <w:color w:val="auto"/>
          <w:szCs w:val="21"/>
        </w:rPr>
        <w:t>标志的使用和（或）任何其他对认证资</w:t>
      </w:r>
      <w:r>
        <w:rPr>
          <w:rFonts w:hint="eastAsia"/>
          <w:bCs/>
          <w:color w:val="auto"/>
        </w:rPr>
        <w:t>格引用</w:t>
      </w:r>
      <w:r>
        <w:rPr>
          <w:rFonts w:cs="宋体" w:asciiTheme="minorEastAsia" w:hAnsiTheme="minorEastAsia"/>
          <w:bCs/>
          <w:color w:val="auto"/>
          <w:kern w:val="0"/>
          <w:szCs w:val="21"/>
        </w:rPr>
        <w:t>的情况：</w:t>
      </w:r>
    </w:p>
    <w:p>
      <w:pPr>
        <w:widowControl/>
        <w:numPr>
          <w:ilvl w:val="0"/>
          <w:numId w:val="0"/>
        </w:numPr>
        <w:spacing w:line="240" w:lineRule="auto"/>
        <w:ind w:leftChars="0"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</w:rPr>
        <w:t>公司对标志的使用，符合相关标准和规定。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1、</w:t>
      </w:r>
      <w:r>
        <w:rPr>
          <w:rFonts w:hint="eastAsia" w:ascii="宋体" w:hAnsi="宋体" w:cs="宋体"/>
          <w:bCs/>
          <w:kern w:val="0"/>
          <w:szCs w:val="21"/>
        </w:rPr>
        <w:t>公司测量管理体系认证证书用于开发市场，企业形象广告宣传；2、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顾客的要求；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3、</w:t>
      </w:r>
      <w:r>
        <w:rPr>
          <w:rFonts w:hint="eastAsia" w:ascii="宋体" w:hAnsi="宋体" w:cs="宋体"/>
          <w:bCs/>
          <w:kern w:val="0"/>
          <w:szCs w:val="21"/>
        </w:rPr>
        <w:t>用于</w:t>
      </w:r>
      <w:r>
        <w:rPr>
          <w:rFonts w:hint="eastAsia" w:ascii="宋体" w:hAnsi="宋体"/>
          <w:bCs/>
          <w:color w:val="auto"/>
          <w:szCs w:val="21"/>
          <w:lang w:eastAsia="zh-CN"/>
        </w:rPr>
        <w:t>企业</w:t>
      </w:r>
      <w:r>
        <w:rPr>
          <w:rFonts w:hint="eastAsia" w:ascii="宋体" w:hAnsi="宋体"/>
          <w:bCs/>
          <w:color w:val="auto"/>
          <w:szCs w:val="21"/>
        </w:rPr>
        <w:t>招投标加分</w:t>
      </w:r>
      <w:r>
        <w:rPr>
          <w:rFonts w:hint="eastAsia" w:ascii="宋体" w:hAnsi="宋体"/>
          <w:bCs/>
          <w:szCs w:val="21"/>
        </w:rPr>
        <w:t>。</w:t>
      </w:r>
    </w:p>
    <w:p>
      <w:pPr>
        <w:widowControl/>
        <w:numPr>
          <w:ilvl w:val="0"/>
          <w:numId w:val="0"/>
        </w:numPr>
        <w:spacing w:line="240" w:lineRule="auto"/>
        <w:rPr>
          <w:rFonts w:hint="eastAsia"/>
          <w:szCs w:val="22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10.</w:t>
      </w:r>
      <w:r>
        <w:rPr>
          <w:rFonts w:hint="eastAsia" w:ascii="宋体" w:hAnsi="宋体"/>
          <w:color w:val="auto"/>
          <w:szCs w:val="21"/>
          <w:lang w:eastAsia="zh-CN"/>
        </w:rPr>
        <w:t>本企业为非重点用能单位，</w:t>
      </w:r>
      <w:r>
        <w:rPr>
          <w:rFonts w:hint="eastAsia"/>
          <w:color w:val="auto"/>
          <w:szCs w:val="22"/>
        </w:rPr>
        <w:t>2019年</w:t>
      </w:r>
      <w:r>
        <w:rPr>
          <w:rFonts w:hint="eastAsia"/>
          <w:szCs w:val="22"/>
        </w:rPr>
        <w:t>用电</w:t>
      </w:r>
      <w:r>
        <w:rPr>
          <w:rFonts w:hint="eastAsia"/>
          <w:bCs/>
          <w:szCs w:val="21"/>
          <w:lang w:val="en-US" w:eastAsia="zh-CN"/>
        </w:rPr>
        <w:t>81.87</w:t>
      </w:r>
      <w:r>
        <w:rPr>
          <w:rFonts w:hint="eastAsia"/>
          <w:szCs w:val="22"/>
        </w:rPr>
        <w:t xml:space="preserve">万千瓦时; 水 </w:t>
      </w:r>
      <w:r>
        <w:rPr>
          <w:rFonts w:hint="eastAsia"/>
          <w:szCs w:val="22"/>
          <w:lang w:val="en-US" w:eastAsia="zh-CN"/>
        </w:rPr>
        <w:t>1600</w:t>
      </w:r>
      <w:r>
        <w:rPr>
          <w:rFonts w:hint="eastAsia"/>
          <w:szCs w:val="22"/>
        </w:rPr>
        <w:t>吨，</w:t>
      </w:r>
      <w:r>
        <w:rPr>
          <w:rFonts w:hint="eastAsia"/>
          <w:szCs w:val="22"/>
          <w:lang w:eastAsia="zh-CN"/>
        </w:rPr>
        <w:t>共</w:t>
      </w:r>
      <w:r>
        <w:rPr>
          <w:rFonts w:hint="eastAsia"/>
          <w:szCs w:val="22"/>
        </w:rPr>
        <w:t>折算标煤</w:t>
      </w:r>
      <w:r>
        <w:rPr>
          <w:rFonts w:hint="eastAsia"/>
          <w:szCs w:val="22"/>
          <w:lang w:val="en-US" w:eastAsia="zh-CN"/>
        </w:rPr>
        <w:t>0.0101</w:t>
      </w:r>
      <w:r>
        <w:rPr>
          <w:rFonts w:hint="eastAsia"/>
          <w:szCs w:val="22"/>
        </w:rPr>
        <w:t>万吨，不是重点耗能企业。</w:t>
      </w:r>
    </w:p>
    <w:p>
      <w:pPr>
        <w:widowControl/>
        <w:numPr>
          <w:ilvl w:val="0"/>
          <w:numId w:val="0"/>
        </w:numPr>
        <w:spacing w:line="240" w:lineRule="auto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widowControl/>
        <w:spacing w:line="240" w:lineRule="auto"/>
        <w:ind w:firstLine="420" w:firstLineChars="200"/>
        <w:rPr>
          <w:rFonts w:hint="eastAsia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通过20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</w:t>
      </w:r>
      <w:r>
        <w:rPr>
          <w:rFonts w:hint="eastAsia" w:asciiTheme="minorEastAsia" w:hAnsiTheme="minorEastAsia"/>
          <w:bCs/>
          <w:szCs w:val="21"/>
          <w:lang w:eastAsia="zh-CN"/>
        </w:rPr>
        <w:t>年</w:t>
      </w:r>
      <w:r>
        <w:rPr>
          <w:rFonts w:hint="eastAsia" w:asciiTheme="minorEastAsia" w:hAnsiTheme="minorEastAsia"/>
          <w:bCs/>
          <w:szCs w:val="21"/>
          <w:lang w:val="en-US" w:eastAsia="zh-CN"/>
        </w:rPr>
        <w:t>6</w:t>
      </w:r>
      <w:r>
        <w:rPr>
          <w:rFonts w:hint="eastAsia" w:asciiTheme="minorEastAsia" w:hAnsiTheme="minorEastAsia"/>
          <w:bCs/>
          <w:szCs w:val="21"/>
          <w:lang w:eastAsia="zh-CN"/>
        </w:rPr>
        <w:t>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29</w:t>
      </w:r>
      <w:r>
        <w:rPr>
          <w:rFonts w:hint="eastAsia" w:asciiTheme="minorEastAsia" w:hAnsiTheme="minorEastAsia"/>
          <w:bCs/>
          <w:szCs w:val="21"/>
          <w:lang w:eastAsia="zh-CN"/>
        </w:rPr>
        <w:t>日上午至</w:t>
      </w:r>
      <w:r>
        <w:rPr>
          <w:rFonts w:hint="eastAsia" w:asciiTheme="minorEastAsia" w:hAnsiTheme="minorEastAsia"/>
          <w:bCs/>
          <w:szCs w:val="21"/>
          <w:lang w:val="en-US" w:eastAsia="zh-CN"/>
        </w:rPr>
        <w:t>30日上午</w:t>
      </w:r>
      <w:r>
        <w:rPr>
          <w:rFonts w:hint="eastAsia" w:asciiTheme="minorEastAsia" w:hAnsiTheme="minorEastAsia"/>
          <w:bCs/>
          <w:szCs w:val="21"/>
          <w:lang w:eastAsia="zh-CN"/>
        </w:rPr>
        <w:t>，对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浙江中兴防爆器材</w:t>
      </w:r>
      <w:r>
        <w:rPr>
          <w:rFonts w:hint="eastAsia" w:asciiTheme="minorEastAsia" w:hAnsiTheme="minorEastAsia"/>
          <w:bCs/>
          <w:szCs w:val="21"/>
          <w:lang w:eastAsia="zh-CN"/>
        </w:rPr>
        <w:t>有限公司测量管理现场监督审核.验证了贵公司在测量管理体系实现认证后两年来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浙江中兴防爆器材</w:t>
      </w:r>
      <w:r>
        <w:rPr>
          <w:rFonts w:hint="eastAsia" w:asciiTheme="minorEastAsia" w:hAnsiTheme="minorEastAsia"/>
          <w:bCs/>
          <w:szCs w:val="21"/>
          <w:lang w:eastAsia="zh-CN"/>
        </w:rPr>
        <w:t>有限公司测量管理体系，符合GB/T 19022-2003标准要求，对体系运行具有持续的有效性、符合性予以肯定。建议报请国标联合认证股份有限公司批准通过监督审核。</w:t>
      </w:r>
    </w:p>
    <w:p>
      <w:pPr>
        <w:widowControl/>
        <w:spacing w:line="240" w:lineRule="auto"/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/>
          <w:color w:val="000000"/>
          <w:szCs w:val="21"/>
        </w:rPr>
        <w:t>提出以</w:t>
      </w:r>
      <w:r>
        <w:rPr>
          <w:rFonts w:hint="eastAsia" w:ascii="宋体" w:hAnsi="宋体" w:cs="宋体"/>
          <w:bCs/>
          <w:kern w:val="0"/>
          <w:szCs w:val="21"/>
        </w:rPr>
        <w:t>下几条建议：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Cs w:val="21"/>
          <w:lang w:eastAsia="zh-CN"/>
        </w:rPr>
        <w:t>对测量过程再重新修改和确认，现在还不完善，需要重新修改；</w:t>
      </w:r>
      <w:bookmarkStart w:id="2" w:name="_GoBack"/>
      <w:bookmarkEnd w:id="2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cs="宋体"/>
          <w:b w:val="0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Cs w:val="21"/>
          <w:lang w:eastAsia="zh-CN"/>
        </w:rPr>
        <w:t>加强测量设备管理，重新编制信息量完善的测量设备台账</w:t>
      </w:r>
      <w:r>
        <w:rPr>
          <w:rFonts w:hint="eastAsia" w:ascii="宋体" w:hAnsi="宋体"/>
          <w:b w:val="0"/>
          <w:bCs/>
          <w:color w:val="auto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/>
          <w:b w:val="0"/>
          <w:bCs w:val="0"/>
          <w:color w:val="auto"/>
          <w:szCs w:val="21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Cs w:val="21"/>
          <w:lang w:eastAsia="zh-CN"/>
        </w:rPr>
        <w:t>因为人员变动，希望加强对测量管理体系标准和企业测量管理手册的宣贯，明确职能部门和体系相关人员的职责，可以将测量管理体系和其他体系相融合，不断提升企业的管理水平。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/>
          <w:b w:val="0"/>
          <w:bCs w:val="0"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为提高内审工作质量，建议派1~2名人员参加内审员外培学习。</w:t>
      </w: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b w:val="0"/>
          <w:bCs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 w:ascii="宋体" w:hAnsi="宋体" w:eastAsia="宋体" w:cs="宋体"/>
          <w:kern w:val="0"/>
          <w:szCs w:val="28"/>
        </w:rPr>
        <w:t xml:space="preserve"> </w:t>
      </w:r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945"/>
        <w:jc w:val="righ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 xml:space="preserve">        </w:t>
      </w: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2100" w:firstLineChars="1000"/>
        <w:jc w:val="left"/>
        <w:rPr>
          <w:rFonts w:hint="eastAsia"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 xml:space="preserve">审查人员（签字）：             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Cs w:val="28"/>
        </w:rPr>
        <w:t>日期：</w:t>
      </w:r>
    </w:p>
    <w:p>
      <w:pPr>
        <w:widowControl/>
        <w:spacing w:line="276" w:lineRule="auto"/>
        <w:ind w:firstLine="2520" w:firstLineChars="1200"/>
        <w:jc w:val="left"/>
        <w:rPr>
          <w:rFonts w:hint="eastAsia"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  <w:r>
        <w:rPr>
          <w:rFonts w:hint="eastAsia" w:ascii="宋体" w:hAnsi="宋体" w:eastAsia="宋体" w:cs="宋体"/>
          <w:kern w:val="0"/>
          <w:szCs w:val="28"/>
        </w:rPr>
        <w:t xml:space="preserve">      </w:t>
      </w:r>
      <w:r>
        <w:rPr>
          <w:rFonts w:ascii="宋体" w:hAnsi="宋体" w:eastAsia="宋体" w:cs="宋体"/>
          <w:kern w:val="0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kern w:val="0"/>
          <w:szCs w:val="28"/>
        </w:rPr>
        <w:t xml:space="preserve">  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kern w:val="0"/>
          <w:szCs w:val="28"/>
        </w:rPr>
        <w:t xml:space="preserve"> </w:t>
      </w:r>
      <w:r>
        <w:rPr>
          <w:rFonts w:ascii="宋体" w:hAnsi="宋体" w:eastAsia="宋体" w:cs="宋体"/>
          <w:kern w:val="0"/>
          <w:szCs w:val="28"/>
        </w:rPr>
        <w:t>日期：</w:t>
      </w:r>
      <w:r>
        <w:rPr>
          <w:rFonts w:hint="eastAsia" w:ascii="宋体" w:hAnsi="宋体" w:eastAsia="宋体" w:cs="宋体"/>
          <w:kern w:val="0"/>
          <w:szCs w:val="28"/>
        </w:rPr>
        <w:t xml:space="preserve">                 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4097" o:spt="202" type="#_x0000_t202" style="position:absolute;left:0pt;margin-left:288.95pt;margin-top:15.6pt;height:20.6pt;width:173.9pt;z-index:251659264;mso-width-relative:page;mso-height-relative:page;" stroked="f" coordsize="21600,21600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/>
        <w:szCs w:val="21"/>
      </w:rPr>
      <w:t xml:space="preserve">   </w:t>
    </w:r>
    <w:r>
      <w:rPr>
        <w:rStyle w:val="8"/>
        <w:rFonts w:hint="default" w:ascii="Times New Roman" w:hAnsi="Times New Roman" w:cs="Times New Roman"/>
        <w:szCs w:val="21"/>
      </w:rPr>
      <w:t>北京国标联合认证</w:t>
    </w:r>
    <w:r>
      <w:rPr>
        <w:rStyle w:val="8"/>
        <w:rFonts w:hint="eastAsia" w:ascii="Times New Roman" w:hAnsi="Times New Roman" w:cs="Times New Roman"/>
        <w:szCs w:val="21"/>
      </w:rPr>
      <w:t>股份有限公司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szCs w:val="21"/>
      </w:rPr>
      <w:t xml:space="preserve">   </w:t>
    </w: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  <w:r>
      <w:rPr>
        <w:rStyle w:val="8"/>
        <w:rFonts w:hint="default"/>
        <w:w w:val="90"/>
        <w:sz w:val="18"/>
      </w:rPr>
      <w:t xml:space="preserve">                     </w:t>
    </w:r>
  </w:p>
  <w:p>
    <w:r>
      <w:rPr>
        <w:sz w:val="18"/>
      </w:rPr>
      <w:pict>
        <v:line id="直线 3" o:spid="_x0000_s4098" o:spt="20" style="position:absolute;left:0pt;margin-left:-23.7pt;margin-top:2.35pt;height:0.7pt;width:460.6pt;z-index:251660288;mso-width-relative:page;mso-height-relative:page;" coordsize="21600,21600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BF7052"/>
    <w:multiLevelType w:val="singleLevel"/>
    <w:tmpl w:val="BCBF705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0B06794"/>
    <w:multiLevelType w:val="singleLevel"/>
    <w:tmpl w:val="50B067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605"/>
    <w:rsid w:val="00032845"/>
    <w:rsid w:val="000D737A"/>
    <w:rsid w:val="0012312B"/>
    <w:rsid w:val="002569B6"/>
    <w:rsid w:val="002701A1"/>
    <w:rsid w:val="0030082D"/>
    <w:rsid w:val="003C25DA"/>
    <w:rsid w:val="003F21F1"/>
    <w:rsid w:val="004965DE"/>
    <w:rsid w:val="004A5891"/>
    <w:rsid w:val="004D7195"/>
    <w:rsid w:val="00504944"/>
    <w:rsid w:val="00524180"/>
    <w:rsid w:val="005912DB"/>
    <w:rsid w:val="00622FCA"/>
    <w:rsid w:val="00690C29"/>
    <w:rsid w:val="00694890"/>
    <w:rsid w:val="006B2605"/>
    <w:rsid w:val="00742DD4"/>
    <w:rsid w:val="007609C2"/>
    <w:rsid w:val="00795D58"/>
    <w:rsid w:val="007B16DA"/>
    <w:rsid w:val="00822A88"/>
    <w:rsid w:val="00842859"/>
    <w:rsid w:val="00847DEA"/>
    <w:rsid w:val="00863661"/>
    <w:rsid w:val="00880CD0"/>
    <w:rsid w:val="008A03D9"/>
    <w:rsid w:val="0094582B"/>
    <w:rsid w:val="009954C3"/>
    <w:rsid w:val="009C6468"/>
    <w:rsid w:val="009D387A"/>
    <w:rsid w:val="009D4C3A"/>
    <w:rsid w:val="009E059D"/>
    <w:rsid w:val="00A03794"/>
    <w:rsid w:val="00A520FA"/>
    <w:rsid w:val="00A71D09"/>
    <w:rsid w:val="00AA57FD"/>
    <w:rsid w:val="00AF6EBD"/>
    <w:rsid w:val="00B063C4"/>
    <w:rsid w:val="00C536C5"/>
    <w:rsid w:val="00CB3AA9"/>
    <w:rsid w:val="00CC18AF"/>
    <w:rsid w:val="00D85083"/>
    <w:rsid w:val="00DC4708"/>
    <w:rsid w:val="00DC4CAB"/>
    <w:rsid w:val="00E1650B"/>
    <w:rsid w:val="00E57204"/>
    <w:rsid w:val="00EA1DBB"/>
    <w:rsid w:val="00EC5C29"/>
    <w:rsid w:val="00F337FF"/>
    <w:rsid w:val="00F91504"/>
    <w:rsid w:val="00F93FAD"/>
    <w:rsid w:val="00FA2B0D"/>
    <w:rsid w:val="00FB5DA3"/>
    <w:rsid w:val="00FC32BD"/>
    <w:rsid w:val="00FD399A"/>
    <w:rsid w:val="00FD533E"/>
    <w:rsid w:val="00FF3F0A"/>
    <w:rsid w:val="01794D71"/>
    <w:rsid w:val="05612ABE"/>
    <w:rsid w:val="058C32AE"/>
    <w:rsid w:val="07847CEB"/>
    <w:rsid w:val="09637A72"/>
    <w:rsid w:val="0A244F34"/>
    <w:rsid w:val="0F170C87"/>
    <w:rsid w:val="0FF67E83"/>
    <w:rsid w:val="137308A5"/>
    <w:rsid w:val="1745226A"/>
    <w:rsid w:val="1D5E1F47"/>
    <w:rsid w:val="1D7D79CE"/>
    <w:rsid w:val="1FBB4AD5"/>
    <w:rsid w:val="23881FD2"/>
    <w:rsid w:val="24645F24"/>
    <w:rsid w:val="27554591"/>
    <w:rsid w:val="28101461"/>
    <w:rsid w:val="284B0503"/>
    <w:rsid w:val="2C613FC4"/>
    <w:rsid w:val="365A13A9"/>
    <w:rsid w:val="371C56BA"/>
    <w:rsid w:val="374C74EB"/>
    <w:rsid w:val="3A0D48F3"/>
    <w:rsid w:val="3E3815C6"/>
    <w:rsid w:val="3F0378D2"/>
    <w:rsid w:val="3F1764EF"/>
    <w:rsid w:val="465F78EA"/>
    <w:rsid w:val="49C14E74"/>
    <w:rsid w:val="49F96812"/>
    <w:rsid w:val="4B025385"/>
    <w:rsid w:val="4BA3061A"/>
    <w:rsid w:val="4F1E1962"/>
    <w:rsid w:val="4F493A74"/>
    <w:rsid w:val="51C16409"/>
    <w:rsid w:val="537A5F58"/>
    <w:rsid w:val="539E318B"/>
    <w:rsid w:val="547533AA"/>
    <w:rsid w:val="56D67E54"/>
    <w:rsid w:val="58082CF0"/>
    <w:rsid w:val="5CB135CE"/>
    <w:rsid w:val="61A667FC"/>
    <w:rsid w:val="643D1D5B"/>
    <w:rsid w:val="65285070"/>
    <w:rsid w:val="67325579"/>
    <w:rsid w:val="69337193"/>
    <w:rsid w:val="6E320501"/>
    <w:rsid w:val="6F780AAA"/>
    <w:rsid w:val="707F0D4F"/>
    <w:rsid w:val="72DC5867"/>
    <w:rsid w:val="74832446"/>
    <w:rsid w:val="76B60C90"/>
    <w:rsid w:val="7C88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638</Characters>
  <Lines>5</Lines>
  <Paragraphs>1</Paragraphs>
  <TotalTime>12</TotalTime>
  <ScaleCrop>false</ScaleCrop>
  <LinksUpToDate>false</LinksUpToDate>
  <CharactersWithSpaces>748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2020-07-01T01:31:32Z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