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江西亚东实业有限公司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2017-N1QMS-1219448</w:t>
            </w:r>
          </w:p>
          <w:p>
            <w:pPr>
              <w:jc w:val="center"/>
              <w:rPr>
                <w:b/>
                <w:sz w:val="21"/>
                <w:szCs w:val="21"/>
              </w:rPr>
            </w:pPr>
            <w:r>
              <w:rPr>
                <w:b/>
                <w:sz w:val="21"/>
                <w:szCs w:val="21"/>
              </w:rPr>
              <w:t>2017-N1EMS-1219448</w:t>
            </w:r>
          </w:p>
          <w:p>
            <w:pPr>
              <w:jc w:val="center"/>
              <w:rPr>
                <w:b/>
                <w:sz w:val="21"/>
                <w:szCs w:val="21"/>
              </w:rPr>
            </w:pPr>
            <w:r>
              <w:rPr>
                <w:b/>
                <w:sz w:val="21"/>
                <w:szCs w:val="21"/>
              </w:rPr>
              <w:t>2018-N1OHSMS-1219448</w:t>
            </w:r>
          </w:p>
        </w:tc>
        <w:tc>
          <w:tcPr>
            <w:tcW w:w="1728" w:type="dxa"/>
            <w:gridSpan w:val="2"/>
            <w:vAlign w:val="center"/>
          </w:tcPr>
          <w:p>
            <w:pPr>
              <w:jc w:val="center"/>
              <w:rPr>
                <w:b/>
                <w:sz w:val="21"/>
                <w:szCs w:val="21"/>
              </w:rPr>
            </w:pPr>
            <w:r>
              <w:rPr>
                <w:b/>
                <w:sz w:val="21"/>
                <w:szCs w:val="21"/>
              </w:rPr>
              <w:t>Q:29.10.07</w:t>
            </w:r>
          </w:p>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O:实习审核员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2020-N0OHSMS-1257737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江西亚东实业有限公司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江西省南昌市红谷滩新区红谷中大道1376号办公楼1423室（第14层）</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330000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江西省南昌市红谷滩新区红谷中大道1376号办公楼1423室（第14层）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330000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江西省南昌市红谷滩新区红谷中大道1376号办公楼1423室（第14层）</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330000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胡琴琴</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0791-88621696</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胡琴琴</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胡朋</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w:t>
            </w:r>
            <w:r>
              <w:rPr>
                <w:rFonts w:hint="eastAsia" w:ascii="宋体" w:hAnsi="宋体"/>
                <w:b/>
                <w:sz w:val="21"/>
                <w:szCs w:val="21"/>
                <w:lang w:val="en-US" w:eastAsia="zh-CN"/>
              </w:rPr>
              <w:t>7</w:t>
            </w:r>
            <w:r>
              <w:rPr>
                <w:rFonts w:ascii="宋体" w:hAnsi="宋体"/>
                <w:b/>
                <w:sz w:val="21"/>
                <w:szCs w:val="21"/>
              </w:rPr>
              <w:t>月</w:t>
            </w:r>
            <w:r>
              <w:rPr>
                <w:rFonts w:hint="eastAsia" w:ascii="宋体" w:hAnsi="宋体"/>
                <w:b/>
                <w:sz w:val="21"/>
                <w:szCs w:val="21"/>
                <w:lang w:val="en-US" w:eastAsia="zh-CN"/>
              </w:rPr>
              <w:t>8</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午至2020年</w:t>
            </w:r>
            <w:r>
              <w:rPr>
                <w:rFonts w:hint="eastAsia" w:ascii="宋体" w:hAnsi="宋体"/>
                <w:b/>
                <w:sz w:val="21"/>
                <w:szCs w:val="21"/>
                <w:lang w:val="en-US" w:eastAsia="zh-CN"/>
              </w:rPr>
              <w:t>7</w:t>
            </w:r>
            <w:r>
              <w:rPr>
                <w:rFonts w:ascii="宋体" w:hAnsi="宋体"/>
                <w:b/>
                <w:sz w:val="21"/>
                <w:szCs w:val="21"/>
              </w:rPr>
              <w:t>月</w:t>
            </w:r>
            <w:r>
              <w:rPr>
                <w:rFonts w:hint="eastAsia" w:ascii="宋体" w:hAnsi="宋体"/>
                <w:b/>
                <w:sz w:val="21"/>
                <w:szCs w:val="21"/>
                <w:lang w:val="en-US" w:eastAsia="zh-CN"/>
              </w:rPr>
              <w:t>8</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服装机械设备及零配件的销售</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服装机械设备及零配件的销售及其所涉及场所的相关环境管理活动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服装机械设备及零配件的销售及其所涉及场所的职业健康安全管理体系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Q：29.10.07</w:t>
            </w:r>
          </w:p>
          <w:p>
            <w:pPr>
              <w:spacing w:line="260" w:lineRule="exact"/>
              <w:rPr>
                <w:rFonts w:ascii="宋体" w:hAnsi="宋体"/>
                <w:b/>
                <w:sz w:val="21"/>
                <w:szCs w:val="21"/>
              </w:rPr>
            </w:pPr>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color w:val="auto"/>
                <w:sz w:val="21"/>
                <w:szCs w:val="21"/>
                <w:lang w:val="en-US" w:eastAsia="zh-CN"/>
              </w:rPr>
              <w:t>2022年5月8日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color w:val="auto"/>
                <w:sz w:val="21"/>
                <w:lang w:val="en-US" w:eastAsia="zh-CN"/>
              </w:rPr>
              <w:t>2019年5月2-5日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ind w:firstLine="480"/>
              <w:jc w:val="left"/>
              <w:rPr>
                <w:rFonts w:ascii="宋体"/>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ind w:firstLine="480"/>
              <w:jc w:val="left"/>
              <w:rPr>
                <w:rFonts w:ascii="宋体"/>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1"/>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1"/>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1"/>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rPr>
              <w:sym w:font="Wingdings 2" w:char="0052"/>
            </w:r>
            <w:r>
              <w:rPr>
                <w:rFonts w:hint="eastAsia"/>
              </w:rPr>
              <w:t>质量</w:t>
            </w:r>
            <w:r>
              <w:t>/</w:t>
            </w:r>
            <w:r>
              <w:rPr>
                <w:rFonts w:hint="eastAsia"/>
              </w:rPr>
              <w:sym w:font="Wingdings 2" w:char="0052"/>
            </w:r>
            <w:r>
              <w:rPr>
                <w:rFonts w:hint="eastAsia"/>
              </w:rPr>
              <w:t>环境</w:t>
            </w:r>
            <w:r>
              <w:t>/</w:t>
            </w:r>
            <w:r>
              <w:rPr>
                <w:rFonts w:hint="eastAsia"/>
              </w:rPr>
              <w:sym w:font="Wingdings 2" w:char="0052"/>
            </w:r>
            <w:r>
              <w:rPr>
                <w:rFonts w:hint="eastAsia"/>
              </w:rPr>
              <w:t>职业健康安全方针（组织方针的适宜性</w:t>
            </w:r>
            <w:r>
              <w:t>/</w:t>
            </w:r>
            <w:r>
              <w:rPr>
                <w:rFonts w:hint="eastAsia"/>
              </w:rPr>
              <w:t>持续适宜性、方针的传达及职工的理解等）</w:t>
            </w:r>
          </w:p>
          <w:p>
            <w:pPr>
              <w:spacing w:line="400" w:lineRule="exact"/>
              <w:ind w:firstLine="500" w:firstLineChars="200"/>
              <w:rPr>
                <w:rFonts w:hint="eastAsia" w:ascii="宋体" w:hAnsi="宋体"/>
                <w:color w:val="auto"/>
                <w:spacing w:val="20"/>
                <w:sz w:val="21"/>
                <w:szCs w:val="21"/>
                <w:lang w:eastAsia="zh-CN"/>
              </w:rPr>
            </w:pPr>
            <w:r>
              <w:rPr>
                <w:rFonts w:hint="eastAsia" w:ascii="宋体" w:hAnsi="宋体"/>
                <w:color w:val="auto"/>
                <w:spacing w:val="20"/>
                <w:sz w:val="21"/>
                <w:szCs w:val="21"/>
              </w:rPr>
              <w:t>提供</w:t>
            </w:r>
            <w:r>
              <w:rPr>
                <w:rFonts w:hint="eastAsia" w:ascii="宋体" w:hAnsi="宋体"/>
                <w:color w:val="auto"/>
                <w:spacing w:val="20"/>
                <w:sz w:val="21"/>
                <w:szCs w:val="21"/>
                <w:lang w:eastAsia="zh-CN"/>
              </w:rPr>
              <w:t>合格</w:t>
            </w:r>
            <w:r>
              <w:rPr>
                <w:rFonts w:hint="eastAsia" w:ascii="宋体" w:hAnsi="宋体"/>
                <w:color w:val="auto"/>
                <w:spacing w:val="20"/>
                <w:sz w:val="21"/>
                <w:szCs w:val="21"/>
              </w:rPr>
              <w:t>的产品和</w:t>
            </w:r>
            <w:r>
              <w:rPr>
                <w:rFonts w:hint="eastAsia" w:ascii="宋体" w:hAnsi="宋体"/>
                <w:color w:val="auto"/>
                <w:spacing w:val="20"/>
                <w:sz w:val="21"/>
                <w:szCs w:val="21"/>
                <w:lang w:eastAsia="zh-CN"/>
              </w:rPr>
              <w:t>优质</w:t>
            </w:r>
            <w:r>
              <w:rPr>
                <w:rFonts w:hint="eastAsia" w:ascii="宋体" w:hAnsi="宋体"/>
                <w:color w:val="auto"/>
                <w:spacing w:val="20"/>
                <w:sz w:val="21"/>
                <w:szCs w:val="21"/>
              </w:rPr>
              <w:t>的服务</w:t>
            </w:r>
            <w:r>
              <w:rPr>
                <w:rFonts w:hint="eastAsia" w:ascii="宋体" w:hAnsi="宋体"/>
                <w:color w:val="auto"/>
                <w:spacing w:val="20"/>
                <w:sz w:val="21"/>
                <w:szCs w:val="21"/>
                <w:lang w:eastAsia="zh-CN"/>
              </w:rPr>
              <w:t>；遵守法规增全员意识，预防污染保环境美化；</w:t>
            </w:r>
          </w:p>
          <w:p>
            <w:pPr>
              <w:spacing w:line="400" w:lineRule="exact"/>
              <w:ind w:firstLine="500" w:firstLineChars="200"/>
              <w:rPr>
                <w:rFonts w:hint="eastAsia" w:ascii="宋体" w:hAnsi="宋体"/>
                <w:b/>
                <w:bCs/>
                <w:color w:val="auto"/>
                <w:spacing w:val="20"/>
                <w:sz w:val="21"/>
                <w:szCs w:val="21"/>
              </w:rPr>
            </w:pPr>
            <w:r>
              <w:rPr>
                <w:rFonts w:hint="eastAsia" w:ascii="宋体" w:hAnsi="宋体"/>
                <w:color w:val="auto"/>
                <w:spacing w:val="20"/>
                <w:sz w:val="21"/>
                <w:szCs w:val="21"/>
                <w:lang w:eastAsia="zh-CN"/>
              </w:rPr>
              <w:t>遵守相关安全交通法规意识，预防交通事故</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rPr>
            </w:pPr>
            <w:r>
              <w:rPr>
                <w:rFonts w:hint="eastAsia"/>
              </w:rPr>
              <w:t>风险识别与控制策划</w:t>
            </w:r>
          </w:p>
          <w:p>
            <w:pPr>
              <w:spacing w:line="360" w:lineRule="auto"/>
              <w:ind w:firstLine="400" w:firstLineChars="200"/>
              <w:rPr>
                <w:rFonts w:ascii="宋体"/>
                <w:sz w:val="20"/>
                <w:szCs w:val="20"/>
              </w:rPr>
            </w:pP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4"/>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4"/>
              </w:numPr>
              <w:spacing w:line="360" w:lineRule="auto"/>
              <w:rPr>
                <w:rFonts w:ascii="宋体"/>
                <w:sz w:val="20"/>
                <w:szCs w:val="20"/>
              </w:rPr>
            </w:pPr>
            <w:r>
              <w:rPr>
                <w:rFonts w:hint="eastAsia" w:ascii="宋体" w:hAnsi="宋体"/>
                <w:sz w:val="20"/>
                <w:szCs w:val="20"/>
              </w:rPr>
              <w:t>增强有利影响；</w:t>
            </w:r>
          </w:p>
          <w:p>
            <w:pPr>
              <w:numPr>
                <w:ilvl w:val="0"/>
                <w:numId w:val="4"/>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4"/>
              </w:numPr>
              <w:spacing w:line="360" w:lineRule="auto"/>
              <w:rPr>
                <w:rFonts w:ascii="宋体"/>
                <w:sz w:val="20"/>
                <w:szCs w:val="20"/>
              </w:rPr>
            </w:pPr>
            <w:r>
              <w:rPr>
                <w:rFonts w:hint="eastAsia" w:ascii="宋体" w:hAnsi="宋体"/>
                <w:sz w:val="20"/>
                <w:szCs w:val="20"/>
              </w:rPr>
              <w:t>实现持续改进；</w:t>
            </w:r>
          </w:p>
          <w:p>
            <w:pPr>
              <w:numPr>
                <w:ilvl w:val="0"/>
                <w:numId w:val="4"/>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5"/>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5"/>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5"/>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编制《风险和机遇管理程序》，由办公室负责日常管理，确保文件化信息程度足以确信这些过程按策划实施。</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31680" w:hanging="201" w:hangingChars="100"/>
              <w:rPr>
                <w:rFonts w:ascii="宋体"/>
                <w:b/>
                <w:color w:val="000000"/>
                <w:sz w:val="20"/>
                <w:szCs w:val="20"/>
              </w:rPr>
            </w:pPr>
            <w:r>
              <w:rPr>
                <w:rFonts w:hint="eastAsia" w:ascii="宋体" w:hAnsi="宋体"/>
                <w:b/>
                <w:color w:val="000000"/>
                <w:sz w:val="20"/>
                <w:szCs w:val="20"/>
              </w:rPr>
              <w:t>质量管理体系过程有：</w:t>
            </w:r>
          </w:p>
          <w:p>
            <w:pPr>
              <w:tabs>
                <w:tab w:val="left" w:pos="540"/>
              </w:tabs>
              <w:spacing w:line="300" w:lineRule="exact"/>
              <w:ind w:left="31680" w:hanging="235" w:hangingChars="100"/>
              <w:rPr>
                <w:rFonts w:hint="eastAsia" w:ascii="宋体" w:hAnsi="宋体"/>
                <w:b/>
                <w:bCs/>
                <w:color w:val="000000"/>
                <w:spacing w:val="12"/>
                <w:sz w:val="21"/>
                <w:szCs w:val="21"/>
              </w:rPr>
            </w:pPr>
            <w:r>
              <w:rPr>
                <w:rFonts w:hint="eastAsia" w:ascii="宋体" w:hAnsi="宋体"/>
                <w:b/>
                <w:bCs/>
                <w:color w:val="000000"/>
                <w:spacing w:val="12"/>
                <w:sz w:val="21"/>
                <w:szCs w:val="21"/>
              </w:rPr>
              <w:t>产品要求信息获取----产品要求评审-----签订合同----采购 -----质检------销售</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销售过程</w:t>
            </w:r>
            <w:r>
              <w:rPr>
                <w:rFonts w:ascii="宋体" w:hAnsi="宋体"/>
                <w:b/>
                <w:color w:val="000000"/>
                <w:sz w:val="20"/>
                <w:szCs w:val="20"/>
                <w:u w:val="single"/>
              </w:rPr>
              <w:t xml:space="preserve">                                                            </w:t>
            </w:r>
            <w:r>
              <w:rPr>
                <w:rFonts w:hint="eastAsia" w:ascii="宋体" w:hAnsi="宋体"/>
                <w:b/>
                <w:color w:val="000000"/>
                <w:sz w:val="20"/>
                <w:szCs w:val="20"/>
                <w:u w:val="single"/>
              </w:rPr>
              <w:t>，</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销售过程</w:t>
            </w:r>
          </w:p>
          <w:p>
            <w:pPr>
              <w:tabs>
                <w:tab w:val="left" w:pos="540"/>
              </w:tabs>
              <w:spacing w:line="300" w:lineRule="exact"/>
              <w:ind w:left="31680" w:hanging="240" w:hangingChars="100"/>
              <w:rPr>
                <w:rFonts w:ascii="宋体"/>
                <w:b/>
                <w:color w:val="000000"/>
                <w:sz w:val="20"/>
                <w:szCs w:val="20"/>
              </w:rPr>
            </w:pPr>
            <w:r>
              <w:pict>
                <v:shape id="_x0000_s2051" o:spid="_x0000_s2051"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ascii="宋体" w:hAnsi="宋体"/>
                <w:b/>
                <w:color w:val="FF0000"/>
                <w:sz w:val="20"/>
                <w:szCs w:val="20"/>
              </w:rPr>
              <w:t xml:space="preserve"> </w:t>
            </w:r>
            <w:r>
              <w:rPr>
                <w:rFonts w:hint="eastAsia" w:ascii="宋体" w:hAnsi="宋体"/>
                <w:b w:val="0"/>
                <w:bCs/>
                <w:color w:val="auto"/>
                <w:sz w:val="20"/>
                <w:szCs w:val="20"/>
                <w:lang w:val="en-US" w:eastAsia="zh-CN"/>
              </w:rPr>
              <w:t>公司业务只是</w:t>
            </w:r>
            <w:r>
              <w:rPr>
                <w:color w:val="auto"/>
                <w:sz w:val="20"/>
              </w:rPr>
              <w:t>服装机械设备及零配件的销售</w:t>
            </w:r>
            <w:r>
              <w:rPr>
                <w:rFonts w:hint="eastAsia"/>
                <w:color w:val="auto"/>
                <w:sz w:val="20"/>
                <w:lang w:eastAsia="zh-CN"/>
              </w:rPr>
              <w:t>，</w:t>
            </w:r>
            <w:r>
              <w:rPr>
                <w:rFonts w:hint="eastAsia"/>
                <w:color w:val="auto"/>
                <w:sz w:val="20"/>
                <w:lang w:val="en-US" w:eastAsia="zh-CN"/>
              </w:rPr>
              <w:t>不涉及产品设计和开发，且不影响法律法规的执行和满足顾客的要求。</w:t>
            </w:r>
            <w:r>
              <w:rPr>
                <w:rFonts w:ascii="宋体" w:hAnsi="宋体"/>
                <w:b/>
                <w:color w:val="auto"/>
                <w:sz w:val="20"/>
                <w:szCs w:val="20"/>
              </w:rPr>
              <w:t xml:space="preserve">           </w:t>
            </w:r>
            <w:r>
              <w:rPr>
                <w:rFonts w:ascii="宋体" w:hAnsi="宋体"/>
                <w:b/>
                <w:color w:val="000000"/>
                <w:sz w:val="20"/>
                <w:szCs w:val="20"/>
              </w:rPr>
              <w:t xml:space="preserve">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hint="eastAsia"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pStyle w:val="2"/>
            </w:pPr>
            <w:r>
              <w:rPr>
                <w:rFonts w:hint="eastAsia"/>
                <w:b/>
                <w:color w:val="000000"/>
                <w:sz w:val="20"/>
                <w:szCs w:val="20"/>
              </w:rPr>
              <w:t>环境因素辨识充分，重要环境因素</w:t>
            </w:r>
            <w:r>
              <w:rPr>
                <w:rFonts w:hint="eastAsia"/>
                <w:b/>
                <w:color w:val="000000"/>
                <w:sz w:val="20"/>
                <w:szCs w:val="20"/>
                <w:lang w:val="en-US" w:eastAsia="zh-CN"/>
              </w:rPr>
              <w:t>三</w:t>
            </w:r>
            <w:r>
              <w:rPr>
                <w:rFonts w:hint="eastAsia"/>
                <w:b/>
                <w:color w:val="000000"/>
                <w:sz w:val="20"/>
                <w:szCs w:val="20"/>
              </w:rPr>
              <w:t>个：固体废弃物、火灾</w:t>
            </w:r>
            <w:r>
              <w:rPr>
                <w:rFonts w:hint="eastAsia"/>
                <w:b/>
                <w:color w:val="000000"/>
                <w:sz w:val="20"/>
                <w:szCs w:val="20"/>
                <w:lang w:eastAsia="zh-CN"/>
              </w:rPr>
              <w:t>、</w:t>
            </w:r>
            <w:r>
              <w:rPr>
                <w:rFonts w:hint="eastAsia"/>
                <w:b/>
                <w:color w:val="000000"/>
                <w:sz w:val="20"/>
                <w:szCs w:val="20"/>
                <w:lang w:val="en-US" w:eastAsia="zh-CN"/>
              </w:rPr>
              <w:t>能源消耗</w:t>
            </w:r>
            <w:r>
              <w:rPr>
                <w:rFonts w:hint="eastAsia"/>
                <w:b/>
                <w:color w:val="000000"/>
                <w:sz w:val="20"/>
                <w:szCs w:val="20"/>
              </w:rPr>
              <w:t>，评价合理，根据环境因素的动态及时变更和控制。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rPr>
              <w:sym w:font="Wingdings 2" w:char="0052"/>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pStyle w:val="2"/>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辨识充分，风险评价合理，重大危险源三个：触电、火灾、意外伤害，根据动态及时变更和控制。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6"/>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ascii="宋体" w:hAnsi="宋体"/>
                <w:b/>
                <w:color w:val="000000"/>
                <w:szCs w:val="21"/>
              </w:rPr>
              <w:t>51</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104" w:hangingChars="43"/>
              <w:rPr>
                <w:rFonts w:ascii="宋体"/>
                <w:b/>
                <w:color w:val="000000"/>
                <w:szCs w:val="21"/>
                <w:u w:val="single"/>
              </w:rPr>
            </w:pPr>
          </w:p>
          <w:p>
            <w:pPr>
              <w:pStyle w:val="13"/>
              <w:numPr>
                <w:ilvl w:val="0"/>
                <w:numId w:val="6"/>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3"/>
              <w:numPr>
                <w:ilvl w:val="0"/>
                <w:numId w:val="6"/>
              </w:numPr>
              <w:tabs>
                <w:tab w:val="left" w:pos="540"/>
              </w:tabs>
              <w:spacing w:line="300" w:lineRule="exact"/>
              <w:ind w:firstLineChars="0"/>
              <w:rPr>
                <w:rFonts w:ascii="宋体"/>
                <w:b/>
                <w:color w:val="000000"/>
                <w:szCs w:val="21"/>
              </w:rPr>
            </w:pPr>
            <w:r>
              <w:rPr>
                <w:rFonts w:hint="eastAsia" w:ascii="宋体" w:hAnsi="宋体"/>
                <w:b/>
                <w:color w:val="000000"/>
                <w:szCs w:val="21"/>
              </w:rPr>
              <w:t>法律法规的宣传方式：会议、文件等形式</w:t>
            </w:r>
          </w:p>
          <w:p>
            <w:pPr>
              <w:pStyle w:val="13"/>
              <w:numPr>
                <w:ilvl w:val="0"/>
                <w:numId w:val="6"/>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法律法规要求及时更新了：公司及时关注每年进行一次法律法律的合规性评价</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400" w:lineRule="exact"/>
              <w:ind w:left="862"/>
              <w:rPr>
                <w:rFonts w:hint="eastAsia" w:ascii="楷体" w:hAnsi="楷体" w:eastAsia="楷体"/>
                <w:b/>
                <w:bCs/>
                <w:color w:val="000000"/>
                <w:sz w:val="21"/>
                <w:szCs w:val="21"/>
              </w:rPr>
            </w:pPr>
            <w:r>
              <w:rPr>
                <w:rFonts w:hint="eastAsia" w:ascii="楷体" w:hAnsi="楷体" w:eastAsia="楷体" w:cs="楷体"/>
                <w:b/>
                <w:bCs/>
                <w:spacing w:val="20"/>
                <w:sz w:val="21"/>
                <w:szCs w:val="21"/>
              </w:rPr>
              <w:t>质量目标</w:t>
            </w:r>
            <w:r>
              <w:rPr>
                <w:rFonts w:hint="eastAsia" w:ascii="宋体" w:hAnsi="宋体"/>
                <w:b/>
                <w:bCs/>
                <w:spacing w:val="20"/>
                <w:sz w:val="21"/>
                <w:szCs w:val="21"/>
              </w:rPr>
              <w:t>：</w:t>
            </w:r>
            <w:r>
              <w:rPr>
                <w:rFonts w:hint="eastAsia" w:ascii="楷体" w:hAnsi="楷体" w:eastAsia="楷体"/>
                <w:b/>
                <w:bCs/>
                <w:color w:val="000000"/>
                <w:sz w:val="21"/>
                <w:szCs w:val="21"/>
              </w:rPr>
              <w:t>1、交货及时率≥9</w:t>
            </w:r>
            <w:r>
              <w:rPr>
                <w:rFonts w:hint="eastAsia" w:ascii="楷体" w:hAnsi="楷体" w:eastAsia="楷体"/>
                <w:b/>
                <w:bCs/>
                <w:color w:val="000000"/>
                <w:sz w:val="21"/>
                <w:szCs w:val="21"/>
                <w:lang w:val="en-US" w:eastAsia="zh-CN"/>
              </w:rPr>
              <w:t>2</w:t>
            </w:r>
            <w:r>
              <w:rPr>
                <w:rFonts w:hint="eastAsia" w:ascii="楷体" w:hAnsi="楷体" w:eastAsia="楷体"/>
                <w:b/>
                <w:bCs/>
                <w:color w:val="000000"/>
                <w:sz w:val="21"/>
                <w:szCs w:val="21"/>
              </w:rPr>
              <w:t>%；</w:t>
            </w:r>
          </w:p>
          <w:p>
            <w:pPr>
              <w:tabs>
                <w:tab w:val="left" w:pos="840"/>
              </w:tabs>
              <w:spacing w:line="480" w:lineRule="exact"/>
              <w:rPr>
                <w:rFonts w:hint="eastAsia" w:ascii="楷体" w:hAnsi="楷体" w:eastAsia="楷体"/>
                <w:b/>
                <w:bCs/>
                <w:color w:val="000000"/>
                <w:sz w:val="21"/>
                <w:szCs w:val="21"/>
              </w:rPr>
            </w:pPr>
            <w:r>
              <w:rPr>
                <w:rFonts w:hint="eastAsia" w:ascii="楷体" w:hAnsi="楷体" w:eastAsia="楷体"/>
                <w:b/>
                <w:bCs/>
                <w:color w:val="000000"/>
                <w:sz w:val="21"/>
                <w:szCs w:val="21"/>
              </w:rPr>
              <w:t xml:space="preserve">              </w:t>
            </w:r>
            <w:r>
              <w:rPr>
                <w:rFonts w:hint="eastAsia" w:ascii="楷体" w:hAnsi="楷体" w:eastAsia="楷体"/>
                <w:b/>
                <w:bCs/>
                <w:color w:val="000000"/>
                <w:sz w:val="21"/>
                <w:szCs w:val="21"/>
                <w:lang w:val="en-US" w:eastAsia="zh-CN"/>
              </w:rPr>
              <w:t xml:space="preserve">      </w:t>
            </w:r>
            <w:r>
              <w:rPr>
                <w:rFonts w:hint="eastAsia" w:ascii="楷体" w:hAnsi="楷体" w:eastAsia="楷体"/>
                <w:b/>
                <w:bCs/>
                <w:color w:val="000000"/>
                <w:sz w:val="21"/>
                <w:szCs w:val="21"/>
              </w:rPr>
              <w:t>2、顾客满意度92分以上；</w:t>
            </w:r>
          </w:p>
          <w:p>
            <w:pPr>
              <w:tabs>
                <w:tab w:val="left" w:pos="840"/>
              </w:tabs>
              <w:spacing w:line="480" w:lineRule="exact"/>
              <w:ind w:firstLine="843" w:firstLineChars="400"/>
              <w:rPr>
                <w:rFonts w:hint="eastAsia" w:ascii="楷体" w:hAnsi="楷体" w:eastAsia="楷体"/>
                <w:color w:val="000000"/>
                <w:sz w:val="21"/>
                <w:szCs w:val="21"/>
              </w:rPr>
            </w:pPr>
            <w:r>
              <w:rPr>
                <w:rFonts w:hint="eastAsia" w:ascii="楷体" w:hAnsi="楷体" w:eastAsia="楷体"/>
                <w:b/>
                <w:bCs/>
                <w:color w:val="000000"/>
                <w:sz w:val="21"/>
                <w:szCs w:val="21"/>
              </w:rPr>
              <w:t>环境目标：固体废弃物分类处理率100%；</w:t>
            </w:r>
          </w:p>
          <w:p>
            <w:pPr>
              <w:tabs>
                <w:tab w:val="left" w:pos="840"/>
              </w:tabs>
              <w:spacing w:line="480" w:lineRule="exact"/>
              <w:ind w:firstLine="843" w:firstLineChars="400"/>
              <w:rPr>
                <w:rFonts w:hint="eastAsia" w:ascii="楷体" w:hAnsi="楷体" w:eastAsia="楷体"/>
                <w:b/>
                <w:bCs/>
                <w:color w:val="000000"/>
                <w:sz w:val="21"/>
                <w:szCs w:val="21"/>
              </w:rPr>
            </w:pPr>
            <w:r>
              <w:rPr>
                <w:rFonts w:hint="eastAsia" w:ascii="楷体" w:hAnsi="楷体" w:eastAsia="楷体"/>
                <w:b/>
                <w:bCs/>
                <w:color w:val="000000"/>
                <w:sz w:val="21"/>
                <w:szCs w:val="21"/>
              </w:rPr>
              <w:t>职业健康安全目标：火灾事故未0；交通意外伤害为零。</w:t>
            </w:r>
          </w:p>
          <w:p>
            <w:pPr>
              <w:spacing w:before="120" w:line="160" w:lineRule="exact"/>
              <w:rPr>
                <w:rFonts w:hint="eastAsia" w:asciiTheme="majorEastAsia" w:hAnsiTheme="majorEastAsia" w:eastAsiaTheme="majorEastAsia" w:cstheme="majorEastAsia"/>
                <w:b w:val="0"/>
                <w:bCs/>
                <w:sz w:val="21"/>
                <w:szCs w:val="21"/>
                <w:lang w:val="en-US" w:eastAsia="zh-CN"/>
              </w:rPr>
            </w:pPr>
            <w:r>
              <w:rPr>
                <w:rFonts w:hint="eastAsia" w:hAnsiTheme="minorEastAsia" w:eastAsiaTheme="minorEastAsia"/>
                <w:sz w:val="21"/>
                <w:szCs w:val="21"/>
              </w:rPr>
              <w:t>未提供2020年一季度质量/环境/职业健康目标达成记录</w:t>
            </w:r>
            <w:r>
              <w:rPr>
                <w:rFonts w:hint="eastAsia" w:ascii="方正仿宋简体" w:eastAsia="方正仿宋简体"/>
                <w:b/>
                <w:sz w:val="21"/>
                <w:szCs w:val="21"/>
              </w:rPr>
              <w:t>。</w:t>
            </w:r>
            <w:r>
              <w:rPr>
                <w:rFonts w:hint="eastAsia" w:asciiTheme="majorEastAsia" w:hAnsiTheme="majorEastAsia" w:eastAsiaTheme="majorEastAsia" w:cstheme="majorEastAsia"/>
                <w:b w:val="0"/>
                <w:bCs/>
                <w:sz w:val="21"/>
                <w:szCs w:val="21"/>
                <w:lang w:val="en-US" w:eastAsia="zh-CN"/>
              </w:rPr>
              <w:t>开具了不符合。</w:t>
            </w:r>
          </w:p>
          <w:p>
            <w:pPr>
              <w:pStyle w:val="2"/>
              <w:rPr>
                <w:rFonts w:hint="default"/>
                <w:lang w:val="en-US" w:eastAsia="zh-CN"/>
              </w:rPr>
            </w:pPr>
            <w:r>
              <w:rPr>
                <w:rFonts w:hint="eastAsia" w:asciiTheme="majorEastAsia" w:hAnsiTheme="majorEastAsia" w:eastAsiaTheme="majorEastAsia" w:cstheme="majorEastAsia"/>
                <w:b w:val="0"/>
                <w:bCs/>
                <w:sz w:val="21"/>
                <w:szCs w:val="21"/>
                <w:lang w:val="en-US" w:eastAsia="zh-CN"/>
              </w:rPr>
              <w:t>经二阶段现场补充审核核验，整改有效，符合要求。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360" w:lineRule="auto"/>
              <w:ind w:firstLine="400" w:firstLineChars="200"/>
              <w:rPr>
                <w:rFonts w:ascii="宋体"/>
                <w:sz w:val="20"/>
                <w:szCs w:val="20"/>
              </w:rPr>
            </w:pPr>
            <w:r>
              <w:rPr>
                <w:rFonts w:hint="eastAsia" w:ascii="宋体" w:hAnsi="宋体"/>
                <w:sz w:val="20"/>
                <w:szCs w:val="20"/>
              </w:rPr>
              <w:t>公司编制《文件化信息管理程序》以控制三标一体化管理体系和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lang w:val="en-US" w:eastAsia="zh-CN"/>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w:t>
            </w:r>
            <w:r>
              <w:rPr>
                <w:rFonts w:hint="eastAsia" w:ascii="宋体" w:hAnsi="宋体"/>
                <w:sz w:val="20"/>
                <w:szCs w:val="20"/>
                <w:lang w:val="en-US" w:eastAsia="zh-CN"/>
              </w:rPr>
              <w:t>办公室</w:t>
            </w:r>
            <w:r>
              <w:rPr>
                <w:rFonts w:hint="eastAsia" w:ascii="宋体" w:hAnsi="宋体"/>
                <w:sz w:val="20"/>
                <w:szCs w:val="20"/>
              </w:rPr>
              <w:t>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 w:val="20"/>
                <w:szCs w:val="20"/>
              </w:rPr>
              <w:t>公司编制《基础设施管理程序》，确定、提供并维护所需的基础设施，以运行过程并获得合格产品和服务。所需的基础设施包括：建筑物和相关设施、设备（包括硬件和软件）、运输资源、信息和</w:t>
            </w:r>
            <w:r>
              <w:rPr>
                <w:rFonts w:hint="eastAsia" w:ascii="宋体" w:hAnsi="宋体"/>
                <w:sz w:val="20"/>
                <w:szCs w:val="20"/>
                <w:lang w:val="en-US" w:eastAsia="zh-CN"/>
              </w:rPr>
              <w:t>服装机械设备及配件</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7"/>
              </w:numPr>
              <w:spacing w:line="360" w:lineRule="auto"/>
              <w:rPr>
                <w:rFonts w:ascii="宋体"/>
                <w:sz w:val="20"/>
                <w:szCs w:val="20"/>
              </w:rPr>
            </w:pPr>
            <w:r>
              <w:rPr>
                <w:rFonts w:hint="eastAsia" w:ascii="宋体" w:hAnsi="宋体"/>
                <w:sz w:val="20"/>
                <w:szCs w:val="20"/>
              </w:rPr>
              <w:t>社会因素（如无歧视、和谐稳定、无对抗）；</w:t>
            </w:r>
          </w:p>
          <w:p>
            <w:pPr>
              <w:numPr>
                <w:ilvl w:val="0"/>
                <w:numId w:val="7"/>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7"/>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b/>
                <w:bCs/>
              </w:rPr>
              <w:t>监视和测量资源</w:t>
            </w:r>
          </w:p>
          <w:p>
            <w:pPr>
              <w:spacing w:line="360" w:lineRule="auto"/>
              <w:ind w:firstLine="400" w:firstLineChars="200"/>
              <w:rPr>
                <w:rFonts w:ascii="宋体"/>
                <w:sz w:val="20"/>
                <w:szCs w:val="20"/>
              </w:rPr>
            </w:pPr>
            <w:r>
              <w:rPr>
                <w:rFonts w:hint="eastAsia" w:ascii="宋体" w:hAnsi="宋体"/>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lang w:val="en-US" w:eastAsia="zh-CN"/>
              </w:rPr>
              <w:t>办公室</w:t>
            </w:r>
            <w:r>
              <w:rPr>
                <w:rFonts w:hint="eastAsia" w:ascii="宋体" w:hAnsi="宋体"/>
                <w:sz w:val="20"/>
                <w:szCs w:val="20"/>
              </w:rPr>
              <w:t>负责保留作为监视和测量资源适合其用途的证据的形成文件的信息。</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w:t>
            </w:r>
            <w:r>
              <w:rPr>
                <w:rFonts w:hint="eastAsia" w:ascii="宋体" w:hAnsi="宋体"/>
                <w:sz w:val="20"/>
                <w:szCs w:val="20"/>
                <w:lang w:val="en-US" w:eastAsia="zh-CN"/>
              </w:rPr>
              <w:t>行政部</w:t>
            </w:r>
            <w:r>
              <w:rPr>
                <w:rFonts w:hint="eastAsia" w:ascii="宋体" w:hAnsi="宋体"/>
                <w:sz w:val="20"/>
                <w:szCs w:val="20"/>
              </w:rPr>
              <w:t>负责保持这些知识，并确保在需要范围内可得到。</w:t>
            </w:r>
          </w:p>
          <w:p>
            <w:pPr>
              <w:spacing w:line="360" w:lineRule="auto"/>
              <w:ind w:firstLine="400" w:firstLineChars="200"/>
              <w:rPr>
                <w:rFonts w:ascii="宋体" w:hAnsi="宋体"/>
                <w:b/>
                <w:sz w:val="21"/>
                <w:szCs w:val="21"/>
              </w:rPr>
            </w:pPr>
            <w:r>
              <w:rPr>
                <w:rFonts w:hint="eastAsia" w:ascii="宋体" w:hAnsi="宋体"/>
                <w:sz w:val="20"/>
                <w:szCs w:val="20"/>
              </w:rPr>
              <w:t>公司为应对不断变化的需求和发展趋势，考虑现有的知识，确定如何获取理多必要的知识，并进行更新。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szCs w:val="20"/>
                <w:lang w:val="en-US" w:eastAsia="zh-CN"/>
              </w:rPr>
              <w:t>消防栓</w:t>
            </w:r>
            <w:r>
              <w:rPr>
                <w:rFonts w:hint="eastAsia" w:ascii="宋体" w:hAnsi="宋体"/>
                <w:b/>
                <w:color w:val="000000"/>
                <w:sz w:val="20"/>
                <w:szCs w:val="20"/>
                <w:lang w:eastAsia="zh-CN"/>
              </w:rPr>
              <w:t>、</w:t>
            </w:r>
            <w:r>
              <w:rPr>
                <w:rFonts w:hint="eastAsia" w:ascii="宋体" w:hAnsi="宋体"/>
                <w:b/>
                <w:color w:val="000000"/>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b/>
                <w:bCs/>
                <w:sz w:val="21"/>
                <w:szCs w:val="21"/>
              </w:rPr>
            </w:pPr>
            <w:r>
              <w:rPr>
                <w:b/>
                <w:bCs/>
                <w:sz w:val="21"/>
                <w:szCs w:val="21"/>
              </w:rPr>
              <w:t xml:space="preserve">1. </w:t>
            </w:r>
            <w:r>
              <w:rPr>
                <w:rFonts w:hint="eastAsia"/>
                <w:b/>
                <w:bCs/>
                <w:sz w:val="21"/>
                <w:szCs w:val="21"/>
              </w:rPr>
              <w:t>针对方针的管理职责评审</w:t>
            </w:r>
          </w:p>
          <w:p>
            <w:pPr>
              <w:spacing w:line="300" w:lineRule="exact"/>
              <w:ind w:left="1"/>
              <w:rPr>
                <w:rFonts w:hint="eastAsia"/>
                <w:b/>
                <w:bCs/>
                <w:sz w:val="21"/>
                <w:szCs w:val="21"/>
              </w:rPr>
            </w:pPr>
            <w:r>
              <w:rPr>
                <w:rFonts w:hint="eastAsia"/>
                <w:b/>
                <w:bCs/>
                <w:sz w:val="21"/>
                <w:szCs w:val="21"/>
              </w:rPr>
              <w:t>（包括针对组织宗旨，制定相关管理方针政策、确保方针为员工理解并在运营中实施，监视方针的实施并评审方针的适宜性）</w:t>
            </w:r>
          </w:p>
          <w:p>
            <w:pPr>
              <w:spacing w:line="360" w:lineRule="auto"/>
              <w:ind w:firstLine="400" w:firstLineChars="200"/>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内部沟通的情况：内部沟通方式：文件、开会、微信等</w:t>
            </w:r>
          </w:p>
          <w:p>
            <w:pPr>
              <w:spacing w:line="240" w:lineRule="exact"/>
              <w:rPr>
                <w:rFonts w:ascii="楷体_GB2312" w:eastAsia="楷体_GB2312"/>
                <w:b/>
                <w:color w:val="000000"/>
                <w:sz w:val="20"/>
                <w:szCs w:val="20"/>
              </w:rPr>
            </w:pPr>
            <w:r>
              <w:rPr>
                <w:rFonts w:ascii="楷体_GB2312" w:eastAsia="楷体_GB2312"/>
                <w:b/>
                <w:color w:val="000000"/>
                <w:sz w:val="20"/>
                <w:szCs w:val="20"/>
              </w:rPr>
              <w:t xml:space="preserve">                </w:t>
            </w:r>
            <w:r>
              <w:rPr>
                <w:rFonts w:hint="eastAsia" w:ascii="楷体_GB2312" w:eastAsia="楷体_GB2312"/>
                <w:b/>
                <w:color w:val="000000"/>
                <w:sz w:val="20"/>
                <w:szCs w:val="20"/>
              </w:rPr>
              <w:t>内部沟通的效果：有效</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组织对外联络，关注顾客的感受情况（</w:t>
            </w:r>
            <w:r>
              <w:rPr>
                <w:rFonts w:ascii="楷体_GB2312" w:eastAsia="楷体_GB2312"/>
                <w:b/>
                <w:color w:val="000000"/>
                <w:sz w:val="20"/>
                <w:szCs w:val="20"/>
              </w:rPr>
              <w:t>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sz w:val="20"/>
                <w:szCs w:val="20"/>
              </w:rPr>
            </w:pPr>
          </w:p>
          <w:p>
            <w:pPr>
              <w:spacing w:line="360" w:lineRule="auto"/>
              <w:ind w:firstLine="402" w:firstLineChars="200"/>
              <w:rPr>
                <w:rFonts w:ascii="宋体"/>
                <w:sz w:val="20"/>
                <w:szCs w:val="20"/>
              </w:rPr>
            </w:pPr>
            <w:r>
              <w:rPr>
                <w:rFonts w:hint="eastAsia" w:ascii="楷体_GB2312" w:eastAsia="楷体_GB2312"/>
                <w:b/>
                <w:color w:val="000000"/>
                <w:sz w:val="20"/>
                <w:szCs w:val="20"/>
              </w:rPr>
              <w:t>外部信息的接收、成文并答复的情况（</w:t>
            </w:r>
            <w:r>
              <w:rPr>
                <w:rFonts w:ascii="楷体_GB2312" w:eastAsia="楷体_GB2312"/>
                <w:b/>
                <w:color w:val="000000"/>
                <w:sz w:val="20"/>
                <w:szCs w:val="20"/>
              </w:rPr>
              <w:t>E</w:t>
            </w:r>
            <w:r>
              <w:rPr>
                <w:rFonts w:hint="eastAsia" w:ascii="楷体_GB2312" w:eastAsia="楷体_GB2312"/>
                <w:b/>
                <w:color w:val="000000"/>
                <w:sz w:val="20"/>
                <w:szCs w:val="20"/>
              </w:rPr>
              <w:t>、</w:t>
            </w:r>
            <w:r>
              <w:rPr>
                <w:rFonts w:ascii="楷体_GB2312" w:eastAsia="楷体_GB2312"/>
                <w:b/>
                <w:color w:val="000000"/>
                <w:sz w:val="20"/>
                <w:szCs w:val="20"/>
              </w:rPr>
              <w:t>S</w:t>
            </w:r>
            <w:r>
              <w:rPr>
                <w:rFonts w:hint="eastAsia" w:ascii="楷体_GB2312" w:eastAsia="楷体_GB2312"/>
                <w:b/>
                <w:color w:val="000000"/>
                <w:sz w:val="20"/>
                <w:szCs w:val="20"/>
              </w:rPr>
              <w:t>填写）：</w:t>
            </w:r>
            <w:r>
              <w:rPr>
                <w:rFonts w:hint="eastAsia" w:ascii="楷体_GB2312" w:eastAsia="楷体_GB2312"/>
                <w:b w:val="0"/>
                <w:bCs/>
                <w:color w:val="000000"/>
                <w:sz w:val="20"/>
                <w:szCs w:val="20"/>
                <w:lang w:val="en-US" w:eastAsia="zh-CN"/>
              </w:rPr>
              <w:t>办公室</w:t>
            </w:r>
            <w:r>
              <w:rPr>
                <w:rFonts w:hint="eastAsia" w:ascii="宋体" w:hAnsi="宋体"/>
                <w:sz w:val="20"/>
                <w:szCs w:val="20"/>
              </w:rPr>
              <w:t>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重要环境因素信息对外交流情况（</w:t>
            </w:r>
            <w:r>
              <w:rPr>
                <w:rFonts w:ascii="楷体_GB2312" w:eastAsia="楷体_GB2312"/>
                <w:b/>
                <w:color w:val="000000"/>
                <w:sz w:val="20"/>
                <w:szCs w:val="20"/>
              </w:rPr>
              <w:t>EMS</w:t>
            </w:r>
            <w:r>
              <w:rPr>
                <w:rFonts w:hint="eastAsia" w:ascii="楷体_GB2312" w:eastAsia="楷体_GB2312"/>
                <w:b/>
                <w:color w:val="000000"/>
                <w:sz w:val="20"/>
                <w:szCs w:val="20"/>
              </w:rPr>
              <w:t>填写）：告之员工和外来人员并张贴警示标记。</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ascii="楷体_GB2312" w:eastAsia="楷体_GB2312"/>
                <w:b/>
                <w:color w:val="000000"/>
                <w:sz w:val="20"/>
                <w:szCs w:val="20"/>
              </w:rPr>
              <w:t>OHSMS</w:t>
            </w:r>
            <w:r>
              <w:rPr>
                <w:rFonts w:hint="eastAsia" w:ascii="楷体_GB2312" w:eastAsia="楷体_GB2312"/>
                <w:b/>
                <w:color w:val="000000"/>
                <w:sz w:val="20"/>
                <w:szCs w:val="20"/>
              </w:rPr>
              <w:t>事务代表协商和交流的情况（</w:t>
            </w:r>
            <w:r>
              <w:rPr>
                <w:rFonts w:ascii="楷体_GB2312" w:eastAsia="楷体_GB2312"/>
                <w:b/>
                <w:color w:val="000000"/>
                <w:sz w:val="20"/>
                <w:szCs w:val="20"/>
              </w:rPr>
              <w:t>OHSMS</w:t>
            </w:r>
            <w:r>
              <w:rPr>
                <w:rFonts w:hint="eastAsia" w:ascii="楷体_GB2312" w:eastAsia="楷体_GB2312"/>
                <w:b/>
                <w:color w:val="000000"/>
                <w:sz w:val="20"/>
                <w:szCs w:val="20"/>
              </w:rPr>
              <w:t>填写）：告之员工谁是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宋体" w:hAnsi="宋体"/>
                <w:b/>
                <w:sz w:val="21"/>
                <w:szCs w:val="21"/>
              </w:rPr>
            </w:pPr>
            <w:r>
              <w:rPr>
                <w:rFonts w:hint="eastAsia" w:ascii="楷体_GB2312" w:eastAsia="楷体_GB2312"/>
                <w:b/>
                <w:color w:val="000000"/>
                <w:szCs w:val="21"/>
              </w:rPr>
              <w:t>与相关方协商的情况（</w:t>
            </w:r>
            <w:r>
              <w:rPr>
                <w:rFonts w:ascii="楷体_GB2312" w:eastAsia="楷体_GB2312"/>
                <w:b/>
                <w:color w:val="000000"/>
                <w:szCs w:val="21"/>
              </w:rPr>
              <w:t>OHSMS</w:t>
            </w:r>
            <w:r>
              <w:rPr>
                <w:rFonts w:hint="eastAsia" w:ascii="楷体_GB2312" w:eastAsia="楷体_GB2312"/>
                <w:b/>
                <w:color w:val="000000"/>
                <w:szCs w:val="21"/>
              </w:rPr>
              <w:t>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b/>
                <w:color w:val="000000"/>
                <w:sz w:val="20"/>
                <w:szCs w:val="20"/>
              </w:rPr>
              <w:t>销售为重要过程，公司实施严格控制，做好采购产品的质量控制，效果明显，未发生质量纠纷。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rPr>
                <w:b/>
                <w:color w:val="000000"/>
                <w:sz w:val="21"/>
                <w:szCs w:val="21"/>
              </w:rPr>
            </w:pPr>
            <w:r>
              <w:rPr>
                <w:rFonts w:hint="eastAsia"/>
                <w:b/>
                <w:color w:val="000000"/>
                <w:sz w:val="21"/>
                <w:szCs w:val="21"/>
              </w:rPr>
              <w:t>企业采用标准：</w:t>
            </w:r>
            <w:r>
              <w:rPr>
                <w:sz w:val="21"/>
                <w:szCs w:val="21"/>
              </w:rPr>
              <w:t>工业用缝纫机高速双针平缝机旋梭</w:t>
            </w:r>
            <w:r>
              <w:rPr>
                <w:b/>
                <w:color w:val="000000"/>
                <w:sz w:val="21"/>
                <w:szCs w:val="21"/>
              </w:rPr>
              <w:t xml:space="preserve"> </w:t>
            </w:r>
            <w:r>
              <w:rPr>
                <w:sz w:val="21"/>
                <w:szCs w:val="21"/>
              </w:rPr>
              <w:t>QB/4600</w:t>
            </w:r>
            <w:r>
              <w:rPr>
                <w:rFonts w:hint="eastAsia"/>
                <w:sz w:val="21"/>
                <w:szCs w:val="21"/>
              </w:rPr>
              <w:t>-</w:t>
            </w:r>
            <w:r>
              <w:rPr>
                <w:sz w:val="21"/>
                <w:szCs w:val="21"/>
              </w:rPr>
              <w:t>2013</w:t>
            </w:r>
          </w:p>
          <w:p>
            <w:pPr>
              <w:rPr>
                <w:rFonts w:hint="eastAsia"/>
                <w:sz w:val="21"/>
                <w:szCs w:val="21"/>
              </w:rPr>
            </w:pPr>
            <w:r>
              <w:rPr>
                <w:rFonts w:hint="eastAsia"/>
                <w:sz w:val="21"/>
                <w:szCs w:val="21"/>
              </w:rPr>
              <w:t>工</w:t>
            </w:r>
            <w:r>
              <w:rPr>
                <w:sz w:val="21"/>
                <w:szCs w:val="21"/>
              </w:rPr>
              <w:t>业用缝纫机高速双针平缝机分离式针杆</w:t>
            </w:r>
            <w:r>
              <w:rPr>
                <w:rFonts w:hint="eastAsia"/>
                <w:sz w:val="21"/>
                <w:szCs w:val="21"/>
              </w:rPr>
              <w:t>架</w:t>
            </w:r>
            <w:r>
              <w:rPr>
                <w:sz w:val="21"/>
                <w:szCs w:val="21"/>
              </w:rPr>
              <w:t>FQB/4605</w:t>
            </w:r>
            <w:r>
              <w:rPr>
                <w:rFonts w:hint="eastAsia"/>
                <w:sz w:val="21"/>
                <w:szCs w:val="21"/>
              </w:rPr>
              <w:t>-</w:t>
            </w:r>
            <w:r>
              <w:rPr>
                <w:sz w:val="21"/>
                <w:szCs w:val="21"/>
              </w:rPr>
              <w:t>2013</w:t>
            </w:r>
          </w:p>
          <w:p>
            <w:pPr>
              <w:rPr>
                <w:sz w:val="21"/>
                <w:szCs w:val="21"/>
              </w:rPr>
            </w:pPr>
            <w:r>
              <w:rPr>
                <w:sz w:val="21"/>
                <w:szCs w:val="21"/>
              </w:rPr>
              <w:t>业用缝纫机单</w:t>
            </w:r>
            <w:r>
              <w:rPr>
                <w:rFonts w:hint="eastAsia"/>
                <w:sz w:val="21"/>
                <w:szCs w:val="21"/>
              </w:rPr>
              <w:t>（双）</w:t>
            </w:r>
            <w:r>
              <w:rPr>
                <w:sz w:val="21"/>
                <w:szCs w:val="21"/>
              </w:rPr>
              <w:t>针下送料立柱式平缝机头QB/T2816</w:t>
            </w:r>
            <w:r>
              <w:rPr>
                <w:rFonts w:hint="eastAsia"/>
                <w:sz w:val="21"/>
                <w:szCs w:val="21"/>
              </w:rPr>
              <w:t>-</w:t>
            </w:r>
            <w:r>
              <w:rPr>
                <w:sz w:val="21"/>
                <w:szCs w:val="21"/>
              </w:rPr>
              <w:t>2006</w:t>
            </w:r>
          </w:p>
          <w:p>
            <w:pPr>
              <w:rPr>
                <w:rFonts w:hint="eastAsia" w:eastAsia="宋体"/>
                <w:b/>
                <w:color w:val="000000"/>
                <w:sz w:val="21"/>
                <w:szCs w:val="21"/>
                <w:lang w:val="en-US" w:eastAsia="zh-CN"/>
              </w:rPr>
            </w:pPr>
            <w:r>
              <w:rPr>
                <w:rFonts w:hint="eastAsia"/>
                <w:sz w:val="21"/>
                <w:szCs w:val="21"/>
              </w:rPr>
              <w:fldChar w:fldCharType="begin"/>
            </w:r>
            <w:r>
              <w:rPr>
                <w:rFonts w:hint="eastAsia"/>
                <w:sz w:val="21"/>
                <w:szCs w:val="21"/>
              </w:rPr>
              <w:instrText xml:space="preserve"> HYPERLINK "http://www.zbgb.org/2/StandardDetail2425903.htm" \o "工业用缝纫机 缝纫机、缝纫单元和缝纫系统的安全要求" \t "http://www.zbgb.org/_blank" </w:instrText>
            </w:r>
            <w:r>
              <w:rPr>
                <w:rFonts w:hint="eastAsia"/>
                <w:sz w:val="21"/>
                <w:szCs w:val="21"/>
              </w:rPr>
              <w:fldChar w:fldCharType="separate"/>
            </w:r>
            <w:r>
              <w:rPr>
                <w:rFonts w:hint="eastAsia"/>
                <w:sz w:val="21"/>
                <w:szCs w:val="21"/>
              </w:rPr>
              <w:t>工业用缝纫机 缝纫机、缝纫单元和缝纫系统的安全要求</w:t>
            </w:r>
            <w:r>
              <w:rPr>
                <w:rFonts w:hint="eastAsia"/>
                <w:sz w:val="21"/>
                <w:szCs w:val="21"/>
              </w:rPr>
              <w:fldChar w:fldCharType="end"/>
            </w:r>
            <w:r>
              <w:rPr>
                <w:b/>
                <w:color w:val="000000"/>
                <w:sz w:val="21"/>
                <w:szCs w:val="21"/>
              </w:rPr>
              <w:t xml:space="preserve"> </w:t>
            </w:r>
            <w:r>
              <w:rPr>
                <w:rFonts w:hint="eastAsia"/>
                <w:sz w:val="21"/>
                <w:szCs w:val="21"/>
              </w:rPr>
              <w:fldChar w:fldCharType="begin"/>
            </w:r>
            <w:r>
              <w:rPr>
                <w:rFonts w:hint="eastAsia"/>
                <w:sz w:val="21"/>
                <w:szCs w:val="21"/>
              </w:rPr>
              <w:instrText xml:space="preserve"> HYPERLINK "http://www.zbgb.org/2/StandardDetail2425903.htm" \o "工业用缝纫机 缝纫机、缝纫单元和缝纫系统的安全要求" \t "http://www.zbgb.org/_blank" </w:instrText>
            </w:r>
            <w:r>
              <w:rPr>
                <w:rFonts w:hint="eastAsia"/>
                <w:sz w:val="21"/>
                <w:szCs w:val="21"/>
              </w:rPr>
              <w:fldChar w:fldCharType="separate"/>
            </w:r>
            <w:r>
              <w:rPr>
                <w:rFonts w:hint="eastAsia"/>
                <w:sz w:val="21"/>
                <w:szCs w:val="21"/>
              </w:rPr>
              <w:t>GB/T 30421-2013</w:t>
            </w:r>
            <w:r>
              <w:rPr>
                <w:rFonts w:hint="eastAsia"/>
                <w:sz w:val="21"/>
                <w:szCs w:val="21"/>
              </w:rPr>
              <w:fldChar w:fldCharType="end"/>
            </w:r>
            <w:r>
              <w:rPr>
                <w:rFonts w:hint="eastAsia"/>
                <w:sz w:val="21"/>
                <w:szCs w:val="21"/>
                <w:lang w:val="en-US" w:eastAsia="zh-CN"/>
              </w:rPr>
              <w:t>等</w:t>
            </w:r>
          </w:p>
          <w:p>
            <w:pPr>
              <w:spacing w:line="300" w:lineRule="exact"/>
              <w:rPr>
                <w:b/>
                <w:color w:val="000000"/>
                <w:sz w:val="21"/>
                <w:szCs w:val="21"/>
              </w:rPr>
            </w:pPr>
            <w:r>
              <w:rPr>
                <w:rFonts w:hint="eastAsia"/>
                <w:b/>
                <w:color w:val="000000"/>
                <w:sz w:val="21"/>
                <w:szCs w:val="21"/>
              </w:rPr>
              <w:t>企业制定的《销售服务规范》、《原材料入库检验办法》</w:t>
            </w:r>
          </w:p>
          <w:p>
            <w:pPr>
              <w:spacing w:line="30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ind w:firstLine="400" w:firstLineChars="200"/>
              <w:rPr>
                <w:rFonts w:ascii="宋体"/>
                <w:sz w:val="20"/>
                <w:szCs w:val="20"/>
              </w:rPr>
            </w:pPr>
            <w:r>
              <w:rPr>
                <w:rFonts w:hint="eastAsia" w:ascii="宋体" w:hAnsi="宋体"/>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8"/>
              </w:numPr>
              <w:spacing w:line="360" w:lineRule="auto"/>
              <w:rPr>
                <w:rFonts w:ascii="宋体"/>
                <w:sz w:val="20"/>
                <w:szCs w:val="20"/>
              </w:rPr>
            </w:pPr>
            <w:r>
              <w:rPr>
                <w:rFonts w:hint="eastAsia" w:ascii="宋体" w:hAnsi="宋体"/>
                <w:sz w:val="20"/>
                <w:szCs w:val="20"/>
              </w:rPr>
              <w:t>纠正；</w:t>
            </w:r>
          </w:p>
          <w:p>
            <w:pPr>
              <w:numPr>
                <w:ilvl w:val="0"/>
                <w:numId w:val="8"/>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8"/>
              </w:numPr>
              <w:spacing w:line="360" w:lineRule="auto"/>
              <w:rPr>
                <w:rFonts w:ascii="宋体"/>
                <w:sz w:val="20"/>
                <w:szCs w:val="20"/>
              </w:rPr>
            </w:pPr>
            <w:r>
              <w:rPr>
                <w:rFonts w:hint="eastAsia" w:ascii="宋体" w:hAnsi="宋体"/>
                <w:sz w:val="20"/>
                <w:szCs w:val="20"/>
              </w:rPr>
              <w:t>告知顾客；</w:t>
            </w:r>
          </w:p>
          <w:p>
            <w:pPr>
              <w:numPr>
                <w:ilvl w:val="0"/>
                <w:numId w:val="8"/>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lang w:val="en-US" w:eastAsia="zh-CN"/>
              </w:rPr>
              <w:t>办公室</w:t>
            </w:r>
            <w:r>
              <w:rPr>
                <w:rFonts w:hint="eastAsia" w:ascii="宋体" w:hAnsi="宋体"/>
                <w:sz w:val="20"/>
                <w:szCs w:val="20"/>
              </w:rPr>
              <w:t>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sz w:val="21"/>
                <w:szCs w:val="21"/>
              </w:rPr>
            </w:pPr>
            <w:r>
              <w:rPr>
                <w:rFonts w:hint="eastAsia"/>
                <w:sz w:val="21"/>
                <w:szCs w:val="21"/>
              </w:rPr>
              <w:t>公司重要环境因素控制有效，未对周边环境和相关方产生任何影响。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9"/>
              </w:numPr>
              <w:spacing w:line="240" w:lineRule="exact"/>
              <w:rPr>
                <w:rFonts w:hint="eastAsia"/>
                <w:b/>
                <w:bCs/>
                <w:sz w:val="21"/>
                <w:szCs w:val="21"/>
              </w:rPr>
            </w:pPr>
            <w:r>
              <w:rPr>
                <w:b/>
                <w:bCs/>
                <w:sz w:val="21"/>
                <w:szCs w:val="21"/>
              </w:rPr>
              <w:t>OHSMS</w:t>
            </w:r>
            <w:r>
              <w:rPr>
                <w:rFonts w:hint="eastAsia"/>
                <w:b/>
                <w:bCs/>
                <w:sz w:val="21"/>
                <w:szCs w:val="21"/>
              </w:rPr>
              <w:t>组织对不可接受风险实施控制的结果</w:t>
            </w:r>
          </w:p>
          <w:p>
            <w:pPr>
              <w:spacing w:line="240" w:lineRule="exact"/>
              <w:rPr>
                <w:rFonts w:hint="eastAsia"/>
                <w:sz w:val="21"/>
                <w:szCs w:val="21"/>
              </w:rPr>
            </w:pPr>
            <w:r>
              <w:rPr>
                <w:rFonts w:hint="eastAsia"/>
                <w:sz w:val="21"/>
                <w:szCs w:val="21"/>
              </w:rPr>
              <w:t>火灾、触电不可接受风险控制有效，从未发生任何事故。</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color w:val="000000"/>
                <w:spacing w:val="-4"/>
                <w:sz w:val="20"/>
                <w:szCs w:val="20"/>
              </w:rPr>
              <w:t>编制了火灾、触电应急救援预案，在</w:t>
            </w:r>
            <w:r>
              <w:rPr>
                <w:color w:val="000000"/>
                <w:spacing w:val="-4"/>
                <w:sz w:val="20"/>
                <w:szCs w:val="20"/>
              </w:rPr>
              <w:t>201</w:t>
            </w:r>
            <w:r>
              <w:rPr>
                <w:rFonts w:hint="eastAsia"/>
                <w:color w:val="000000"/>
                <w:spacing w:val="-4"/>
                <w:sz w:val="20"/>
                <w:szCs w:val="20"/>
                <w:lang w:val="en-US" w:eastAsia="zh-CN"/>
              </w:rPr>
              <w:t>9</w:t>
            </w:r>
            <w:r>
              <w:rPr>
                <w:rFonts w:hint="eastAsia"/>
                <w:color w:val="000000"/>
                <w:spacing w:val="-4"/>
                <w:sz w:val="20"/>
                <w:szCs w:val="20"/>
              </w:rPr>
              <w:t>年</w:t>
            </w:r>
            <w:r>
              <w:rPr>
                <w:color w:val="000000"/>
                <w:spacing w:val="-4"/>
                <w:sz w:val="20"/>
                <w:szCs w:val="20"/>
              </w:rPr>
              <w:t>1</w:t>
            </w:r>
            <w:r>
              <w:rPr>
                <w:rFonts w:hint="eastAsia"/>
                <w:color w:val="000000"/>
                <w:spacing w:val="-4"/>
                <w:sz w:val="20"/>
                <w:szCs w:val="20"/>
                <w:lang w:val="en-US" w:eastAsia="zh-CN"/>
              </w:rPr>
              <w:t>0</w:t>
            </w:r>
            <w:r>
              <w:rPr>
                <w:rFonts w:hint="eastAsia"/>
                <w:color w:val="000000"/>
                <w:spacing w:val="-4"/>
                <w:sz w:val="20"/>
                <w:szCs w:val="20"/>
              </w:rPr>
              <w:t>月</w:t>
            </w:r>
            <w:r>
              <w:rPr>
                <w:rFonts w:hint="eastAsia"/>
                <w:color w:val="000000"/>
                <w:spacing w:val="-4"/>
                <w:sz w:val="20"/>
                <w:szCs w:val="20"/>
                <w:lang w:val="en-US" w:eastAsia="zh-CN"/>
              </w:rPr>
              <w:t>30</w:t>
            </w:r>
            <w:r>
              <w:rPr>
                <w:rFonts w:hint="eastAsia"/>
                <w:color w:val="000000"/>
                <w:spacing w:val="-4"/>
                <w:sz w:val="20"/>
                <w:szCs w:val="20"/>
              </w:rPr>
              <w:t>日进行了</w:t>
            </w:r>
            <w:r>
              <w:rPr>
                <w:rFonts w:hint="eastAsia"/>
                <w:color w:val="000000"/>
                <w:spacing w:val="-4"/>
                <w:sz w:val="20"/>
                <w:szCs w:val="20"/>
                <w:lang w:val="en-US" w:eastAsia="zh-CN"/>
              </w:rPr>
              <w:t>触电</w:t>
            </w:r>
            <w:r>
              <w:rPr>
                <w:rFonts w:hint="eastAsia" w:ascii="宋体" w:hAnsi="宋体"/>
                <w:sz w:val="21"/>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b/>
                <w:color w:val="000000"/>
                <w:sz w:val="20"/>
                <w:szCs w:val="20"/>
              </w:rPr>
              <w:t>每</w:t>
            </w:r>
            <w:r>
              <w:rPr>
                <w:rFonts w:hint="eastAsia"/>
                <w:b/>
                <w:color w:val="000000"/>
                <w:sz w:val="20"/>
                <w:szCs w:val="20"/>
                <w:lang w:val="en-US" w:eastAsia="zh-CN"/>
              </w:rPr>
              <w:t>半年</w:t>
            </w:r>
            <w:r>
              <w:rPr>
                <w:rFonts w:hint="eastAsia"/>
                <w:b/>
                <w:color w:val="000000"/>
                <w:sz w:val="20"/>
                <w:szCs w:val="20"/>
              </w:rPr>
              <w:t>对一体化目标进行定期检查考核，考核部门：</w:t>
            </w:r>
            <w:r>
              <w:rPr>
                <w:rFonts w:hint="eastAsia"/>
                <w:b/>
                <w:color w:val="000000"/>
                <w:sz w:val="20"/>
                <w:szCs w:val="20"/>
                <w:lang w:val="en-US" w:eastAsia="zh-CN"/>
              </w:rPr>
              <w:t>办公室</w:t>
            </w:r>
            <w:r>
              <w:rPr>
                <w:rFonts w:hint="eastAsia"/>
                <w:b/>
                <w:color w:val="000000"/>
                <w:sz w:val="20"/>
                <w:szCs w:val="20"/>
              </w:rPr>
              <w:t>、</w:t>
            </w:r>
            <w:r>
              <w:rPr>
                <w:rFonts w:hint="eastAsia"/>
                <w:b/>
                <w:color w:val="000000"/>
                <w:sz w:val="20"/>
                <w:szCs w:val="20"/>
                <w:lang w:val="en-US" w:eastAsia="zh-CN"/>
              </w:rPr>
              <w:t>采购</w:t>
            </w:r>
            <w:r>
              <w:rPr>
                <w:rFonts w:hint="eastAsia"/>
                <w:b/>
                <w:color w:val="000000"/>
                <w:sz w:val="20"/>
                <w:szCs w:val="20"/>
              </w:rPr>
              <w:t>部、</w:t>
            </w:r>
            <w:r>
              <w:rPr>
                <w:rFonts w:hint="eastAsia"/>
                <w:b/>
                <w:color w:val="000000"/>
                <w:sz w:val="20"/>
                <w:szCs w:val="20"/>
                <w:lang w:val="en-US" w:eastAsia="zh-CN"/>
              </w:rPr>
              <w:t>销售</w:t>
            </w:r>
            <w:r>
              <w:rPr>
                <w:rFonts w:hint="eastAsia"/>
                <w:b/>
                <w:color w:val="000000"/>
                <w:sz w:val="20"/>
                <w:szCs w:val="20"/>
              </w:rPr>
              <w:t>部，从检查的情况看，均能完成目标指标。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0"/>
              </w:numPr>
              <w:spacing w:line="240" w:lineRule="exact"/>
              <w:ind w:left="105" w:hanging="105" w:hangingChars="50"/>
              <w:rPr>
                <w:rFonts w:hint="eastAsia"/>
                <w:b/>
                <w:bCs/>
                <w:sz w:val="21"/>
                <w:szCs w:val="21"/>
              </w:rPr>
            </w:pPr>
            <w:r>
              <w:rPr>
                <w:rFonts w:hint="eastAsia"/>
                <w:b/>
                <w:bCs/>
                <w:sz w:val="21"/>
                <w:szCs w:val="21"/>
              </w:rPr>
              <w:t>顾客满意</w:t>
            </w:r>
          </w:p>
          <w:p>
            <w:pPr>
              <w:pStyle w:val="2"/>
              <w:numPr>
                <w:ilvl w:val="0"/>
                <w:numId w:val="0"/>
              </w:numPr>
            </w:pPr>
            <w:r>
              <w:rPr>
                <w:b/>
                <w:color w:val="000000"/>
                <w:sz w:val="20"/>
                <w:szCs w:val="20"/>
              </w:rPr>
              <w:t>2019</w:t>
            </w:r>
            <w:r>
              <w:rPr>
                <w:rFonts w:hint="eastAsia"/>
                <w:b/>
                <w:color w:val="000000"/>
                <w:sz w:val="20"/>
                <w:szCs w:val="20"/>
              </w:rPr>
              <w:t>年</w:t>
            </w:r>
            <w:r>
              <w:rPr>
                <w:rFonts w:hint="eastAsia"/>
                <w:b/>
                <w:color w:val="000000"/>
                <w:sz w:val="20"/>
                <w:szCs w:val="20"/>
                <w:lang w:val="en-US" w:eastAsia="zh-CN"/>
              </w:rPr>
              <w:t>10</w:t>
            </w:r>
            <w:r>
              <w:rPr>
                <w:rFonts w:hint="eastAsia"/>
                <w:b/>
                <w:color w:val="000000"/>
                <w:sz w:val="20"/>
                <w:szCs w:val="20"/>
              </w:rPr>
              <w:t>月</w:t>
            </w:r>
            <w:r>
              <w:rPr>
                <w:rFonts w:hint="eastAsia"/>
                <w:b/>
                <w:color w:val="000000"/>
                <w:sz w:val="20"/>
                <w:szCs w:val="20"/>
                <w:lang w:val="en-US" w:eastAsia="zh-CN"/>
              </w:rPr>
              <w:t>15-17</w:t>
            </w:r>
            <w:r>
              <w:rPr>
                <w:rFonts w:hint="eastAsia"/>
                <w:b/>
                <w:color w:val="000000"/>
                <w:sz w:val="20"/>
                <w:szCs w:val="20"/>
              </w:rPr>
              <w:t>日共发出顾客满意度调查表</w:t>
            </w:r>
            <w:r>
              <w:rPr>
                <w:rFonts w:hint="eastAsia"/>
                <w:b/>
                <w:color w:val="000000"/>
                <w:sz w:val="20"/>
                <w:szCs w:val="20"/>
                <w:lang w:val="en-US" w:eastAsia="zh-CN"/>
              </w:rPr>
              <w:t>三</w:t>
            </w:r>
            <w:r>
              <w:rPr>
                <w:rFonts w:hint="eastAsia"/>
                <w:b/>
                <w:color w:val="000000"/>
                <w:sz w:val="20"/>
                <w:szCs w:val="20"/>
              </w:rPr>
              <w:t>份，回收</w:t>
            </w:r>
            <w:r>
              <w:rPr>
                <w:rFonts w:hint="eastAsia"/>
                <w:b/>
                <w:color w:val="000000"/>
                <w:sz w:val="20"/>
                <w:szCs w:val="20"/>
                <w:lang w:val="en-US" w:eastAsia="zh-CN"/>
              </w:rPr>
              <w:t>三</w:t>
            </w:r>
            <w:r>
              <w:rPr>
                <w:rFonts w:hint="eastAsia"/>
                <w:b/>
                <w:color w:val="000000"/>
                <w:sz w:val="20"/>
                <w:szCs w:val="20"/>
              </w:rPr>
              <w:t>份，顾客名称：</w:t>
            </w:r>
            <w:r>
              <w:rPr>
                <w:rFonts w:hint="eastAsia" w:ascii="宋体" w:hAnsi="宋体" w:eastAsia="宋体" w:cs="宋体"/>
                <w:color w:val="auto"/>
                <w:sz w:val="21"/>
                <w:szCs w:val="21"/>
                <w:lang w:eastAsia="zh-CN"/>
              </w:rPr>
              <w:t>江西吉瑞实业有限公司</w:t>
            </w:r>
            <w:r>
              <w:rPr>
                <w:rFonts w:hint="eastAsia" w:ascii="宋体" w:hAnsi="宋体" w:cs="宋体"/>
                <w:sz w:val="21"/>
                <w:szCs w:val="21"/>
                <w:lang w:eastAsia="zh-CN"/>
              </w:rPr>
              <w:t>、</w:t>
            </w:r>
            <w:r>
              <w:rPr>
                <w:rFonts w:hint="eastAsia" w:ascii="宋体" w:hAnsi="宋体" w:eastAsia="宋体" w:cs="宋体"/>
                <w:sz w:val="21"/>
                <w:szCs w:val="21"/>
                <w:lang w:eastAsia="zh-CN"/>
              </w:rPr>
              <w:t>江西珠湖</w:t>
            </w:r>
            <w:r>
              <w:rPr>
                <w:rFonts w:hint="eastAsia" w:ascii="宋体" w:hAnsi="宋体" w:eastAsia="宋体" w:cs="宋体"/>
                <w:color w:val="auto"/>
                <w:sz w:val="21"/>
                <w:szCs w:val="21"/>
                <w:lang w:eastAsia="zh-CN"/>
              </w:rPr>
              <w:t>实业有限</w:t>
            </w:r>
            <w:r>
              <w:rPr>
                <w:rFonts w:hint="eastAsia" w:ascii="宋体" w:hAnsi="宋体" w:eastAsia="宋体" w:cs="宋体"/>
                <w:sz w:val="21"/>
                <w:szCs w:val="21"/>
                <w:lang w:eastAsia="zh-CN"/>
              </w:rPr>
              <w:t>公司</w:t>
            </w:r>
            <w:r>
              <w:rPr>
                <w:rFonts w:hint="eastAsia" w:ascii="宋体" w:hAnsi="宋体" w:cs="宋体"/>
                <w:sz w:val="21"/>
                <w:szCs w:val="21"/>
                <w:lang w:eastAsia="zh-CN"/>
              </w:rPr>
              <w:t>、</w:t>
            </w:r>
            <w:r>
              <w:rPr>
                <w:rFonts w:hint="eastAsia" w:ascii="宋体" w:hAnsi="宋体" w:eastAsia="宋体" w:cs="宋体"/>
                <w:bCs/>
                <w:kern w:val="0"/>
                <w:sz w:val="21"/>
                <w:szCs w:val="21"/>
                <w:lang w:eastAsia="zh-CN"/>
              </w:rPr>
              <w:t>江西朱港实业有限公司</w:t>
            </w:r>
            <w:r>
              <w:rPr>
                <w:rFonts w:hint="eastAsia"/>
                <w:b/>
                <w:color w:val="000000"/>
                <w:sz w:val="21"/>
                <w:szCs w:val="21"/>
              </w:rPr>
              <w:t>，得分为</w:t>
            </w:r>
            <w:r>
              <w:rPr>
                <w:rFonts w:hint="eastAsia"/>
                <w:b/>
                <w:color w:val="000000"/>
                <w:sz w:val="21"/>
                <w:szCs w:val="21"/>
                <w:lang w:val="en-US" w:eastAsia="zh-CN"/>
              </w:rPr>
              <w:t>97</w:t>
            </w:r>
            <w:r>
              <w:rPr>
                <w:rFonts w:hint="eastAsia"/>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bCs/>
                <w:sz w:val="21"/>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lang w:val="en-US" w:eastAsia="zh-CN"/>
              </w:rPr>
              <w:t>无</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r>
              <w:rPr>
                <w:rFonts w:hint="eastAsia" w:ascii="宋体" w:hAnsi="宋体"/>
                <w:b/>
                <w:sz w:val="21"/>
                <w:szCs w:val="21"/>
                <w:lang w:val="en-US" w:eastAsia="zh-CN"/>
              </w:rPr>
              <w:t>无</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Cs/>
                <w:sz w:val="21"/>
                <w:szCs w:val="21"/>
              </w:rPr>
              <w:t>对发现的不合格产品和服务进行了分析、制定了纠正措施，进行了整改，对整改效果进行了追踪验证，结论合格，对不合格品可以进行有效控制。对内审中发现的不合格已制定纠正措施。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105" w:leftChars="0" w:hanging="105" w:hangingChars="50"/>
              <w:rPr>
                <w:rFonts w:hint="eastAsia"/>
                <w:b/>
                <w:bCs/>
                <w:sz w:val="21"/>
                <w:szCs w:val="21"/>
              </w:rPr>
            </w:pPr>
            <w:r>
              <w:rPr>
                <w:rFonts w:hint="eastAsia"/>
                <w:b/>
                <w:bCs/>
                <w:sz w:val="21"/>
                <w:szCs w:val="21"/>
              </w:rPr>
              <w:t>创新情况</w:t>
            </w:r>
          </w:p>
          <w:p>
            <w:pPr>
              <w:pStyle w:val="2"/>
              <w:numPr>
                <w:ilvl w:val="0"/>
                <w:numId w:val="0"/>
              </w:numPr>
              <w:ind w:leftChars="-50"/>
            </w:pPr>
            <w:r>
              <w:rPr>
                <w:rFonts w:hint="eastAsia"/>
                <w:bCs/>
                <w:sz w:val="2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105" w:leftChars="0" w:hanging="105" w:hangingChars="50"/>
              <w:rPr>
                <w:rFonts w:hint="eastAsia"/>
                <w:b/>
                <w:bCs/>
                <w:sz w:val="21"/>
                <w:szCs w:val="21"/>
              </w:rPr>
            </w:pPr>
            <w:r>
              <w:rPr>
                <w:rFonts w:hint="eastAsia"/>
                <w:b/>
                <w:bCs/>
                <w:sz w:val="21"/>
                <w:szCs w:val="21"/>
              </w:rPr>
              <w:t>上次不符合的整改情况</w:t>
            </w:r>
          </w:p>
          <w:p>
            <w:pPr>
              <w:pStyle w:val="2"/>
              <w:rPr>
                <w:rFonts w:hint="default" w:eastAsia="宋体"/>
                <w:lang w:val="en-US" w:eastAsia="zh-CN"/>
              </w:rPr>
            </w:pPr>
            <w:r>
              <w:rPr>
                <w:rFonts w:hint="eastAsia"/>
                <w:b/>
                <w:bCs/>
                <w:sz w:val="21"/>
                <w:szCs w:val="21"/>
                <w:lang w:val="en-US" w:eastAsia="zh-CN"/>
              </w:rPr>
              <w:t>对初审开具的1个一般不符合项经现场验证符合要求。</w:t>
            </w:r>
          </w:p>
          <w:p>
            <w:pPr>
              <w:pStyle w:val="2"/>
              <w:numPr>
                <w:ilvl w:val="0"/>
                <w:numId w:val="0"/>
              </w:numPr>
              <w:tabs>
                <w:tab w:val="left" w:pos="3778"/>
              </w:tabs>
              <w:ind w:leftChars="-50"/>
              <w:rPr>
                <w:rFonts w:hint="default" w:eastAsia="宋体"/>
                <w:lang w:val="en-US" w:eastAsia="zh-CN"/>
              </w:rPr>
            </w:pPr>
            <w:r>
              <w:rPr>
                <w:rFonts w:hint="eastAsia"/>
                <w:lang w:eastAsia="zh-CN"/>
              </w:rPr>
              <w:tab/>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3</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w:t>
      </w:r>
      <w:r>
        <w:rPr>
          <w:rFonts w:hint="eastAsia" w:ascii="宋体" w:hAnsi="宋体"/>
          <w:b/>
          <w:szCs w:val="21"/>
          <w:lang w:val="en-US" w:eastAsia="zh-CN"/>
        </w:rPr>
        <w:t>3项</w:t>
      </w:r>
      <w:r>
        <w:rPr>
          <w:rFonts w:hint="eastAsia" w:ascii="宋体" w:hAnsi="宋体"/>
          <w:b/>
          <w:szCs w:val="21"/>
        </w:rPr>
        <w:t>，观察项项分布在部门条款，见不符合项分布表。（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ind w:firstLine="420" w:firstLineChars="200"/>
              <w:rPr>
                <w:sz w:val="21"/>
                <w:szCs w:val="21"/>
              </w:rPr>
            </w:pPr>
            <w:r>
              <w:rPr>
                <w:rFonts w:hint="eastAsia"/>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1"/>
          <w:szCs w:val="21"/>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1649095</wp:posOffset>
            </wp:positionH>
            <wp:positionV relativeFrom="paragraph">
              <wp:posOffset>235585</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eastAsia="宋体" w:cs="宋体"/>
          <w:kern w:val="0"/>
          <w:sz w:val="24"/>
          <w:szCs w:val="24"/>
          <w:lang w:val="en-US" w:eastAsia="zh-CN" w:bidi="ar"/>
        </w:rPr>
        <w:drawing>
          <wp:anchor distT="0" distB="0" distL="114300" distR="114300" simplePos="0" relativeHeight="251663360" behindDoc="0" locked="0" layoutInCell="1" allowOverlap="1">
            <wp:simplePos x="0" y="0"/>
            <wp:positionH relativeFrom="column">
              <wp:posOffset>1708785</wp:posOffset>
            </wp:positionH>
            <wp:positionV relativeFrom="paragraph">
              <wp:posOffset>111125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2020.7.8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bookmarkStart w:id="28" w:name="_GoBack"/>
      <w:bookmarkEnd w:id="28"/>
    </w:p>
    <w:p>
      <w:pPr>
        <w:tabs>
          <w:tab w:val="left" w:pos="6880"/>
          <w:tab w:val="left" w:pos="7740"/>
          <w:tab w:val="left" w:pos="8385"/>
        </w:tabs>
        <w:snapToGrid w:val="0"/>
        <w:spacing w:before="163" w:beforeLines="50"/>
        <w:ind w:firstLine="1980" w:firstLineChars="900"/>
        <w:rPr>
          <w:b/>
          <w:sz w:val="21"/>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1134745</wp:posOffset>
            </wp:positionH>
            <wp:positionV relativeFrom="paragraph">
              <wp:posOffset>276225</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2020.7.8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7">
    <w:nsid w:val="6D359039"/>
    <w:multiLevelType w:val="singleLevel"/>
    <w:tmpl w:val="6D359039"/>
    <w:lvl w:ilvl="0" w:tentative="0">
      <w:start w:val="4"/>
      <w:numFmt w:val="decimal"/>
      <w:suff w:val="nothing"/>
      <w:lvlText w:val="%1、"/>
      <w:lvlJc w:val="left"/>
    </w:lvl>
  </w:abstractNum>
  <w:abstractNum w:abstractNumId="8">
    <w:nsid w:val="6EE9F4D8"/>
    <w:multiLevelType w:val="singleLevel"/>
    <w:tmpl w:val="6EE9F4D8"/>
    <w:lvl w:ilvl="0" w:tentative="0">
      <w:start w:val="3"/>
      <w:numFmt w:val="decimal"/>
      <w:lvlText w:val="%1."/>
      <w:lvlJc w:val="left"/>
      <w:pPr>
        <w:tabs>
          <w:tab w:val="left" w:pos="312"/>
        </w:tabs>
      </w:pPr>
    </w:lvl>
  </w:abstractNum>
  <w:abstractNum w:abstractNumId="9">
    <w:nsid w:val="760EF1C5"/>
    <w:multiLevelType w:val="singleLevel"/>
    <w:tmpl w:val="760EF1C5"/>
    <w:lvl w:ilvl="0" w:tentative="0">
      <w:start w:val="8"/>
      <w:numFmt w:val="decimal"/>
      <w:suff w:val="space"/>
      <w:lvlText w:val="%1."/>
      <w:lvlJc w:val="left"/>
    </w:lvl>
  </w:abstractNum>
  <w:abstractNum w:abstractNumId="10">
    <w:nsid w:val="7D53F438"/>
    <w:multiLevelType w:val="singleLevel"/>
    <w:tmpl w:val="7D53F438"/>
    <w:lvl w:ilvl="0" w:tentative="0">
      <w:start w:val="2"/>
      <w:numFmt w:val="decimal"/>
      <w:lvlText w:val="%1."/>
      <w:lvlJc w:val="left"/>
      <w:pPr>
        <w:tabs>
          <w:tab w:val="left" w:pos="312"/>
        </w:tabs>
      </w:pPr>
    </w:lvl>
  </w:abstractNum>
  <w:num w:numId="1">
    <w:abstractNumId w:val="3"/>
  </w:num>
  <w:num w:numId="2">
    <w:abstractNumId w:val="8"/>
  </w:num>
  <w:num w:numId="3">
    <w:abstractNumId w:val="7"/>
  </w:num>
  <w:num w:numId="4">
    <w:abstractNumId w:val="2"/>
  </w:num>
  <w:num w:numId="5">
    <w:abstractNumId w:val="1"/>
  </w:num>
  <w:num w:numId="6">
    <w:abstractNumId w:val="5"/>
  </w:num>
  <w:num w:numId="7">
    <w:abstractNumId w:val="4"/>
  </w:num>
  <w:num w:numId="8">
    <w:abstractNumId w:val="6"/>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775143"/>
    <w:rsid w:val="452A1C38"/>
    <w:rsid w:val="4E94193A"/>
    <w:rsid w:val="52AA654C"/>
    <w:rsid w:val="5A346940"/>
    <w:rsid w:val="6D0650AD"/>
    <w:rsid w:val="6D7B4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9</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2020-07-11T16:15:26Z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