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1043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稀（凉山）稀土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