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浙江澳华机电制造有限公司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0310-2020-E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姚家俊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0573-83888012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jxbyq012@163.com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bookmarkStart w:id="6" w:name="最高管理者"/>
            <w:bookmarkEnd w:id="6"/>
            <w:r>
              <w:rPr>
                <w:rFonts w:hint="eastAsia"/>
                <w:b w:val="0"/>
                <w:bCs w:val="0"/>
                <w:sz w:val="21"/>
                <w:szCs w:val="21"/>
              </w:rPr>
              <w:t>陆慧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bookmarkStart w:id="7" w:name="联系人传真"/>
            <w:bookmarkEnd w:id="7"/>
            <w:r>
              <w:rPr>
                <w:rFonts w:hint="eastAsia"/>
                <w:b w:val="0"/>
                <w:bCs w:val="0"/>
                <w:sz w:val="21"/>
                <w:szCs w:val="21"/>
              </w:rPr>
              <w:t>0573-83889443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审核范围"/>
            <w:r>
              <w:rPr>
                <w:b w:val="0"/>
                <w:bCs w:val="0"/>
                <w:sz w:val="21"/>
                <w:szCs w:val="21"/>
              </w:rPr>
              <w:t>变压器的生产及其所涉及的环境管理活动</w:t>
            </w:r>
            <w:bookmarkEnd w:id="8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专业代码"/>
            <w:r>
              <w:rPr>
                <w:b w:val="0"/>
                <w:bCs w:val="0"/>
                <w:sz w:val="21"/>
                <w:szCs w:val="21"/>
              </w:rPr>
              <w:t>19.09.01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1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2020年07月08日 上午至2020年07月08日 下午 (共1.0天)</w:t>
            </w:r>
            <w:bookmarkEnd w:id="11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19.09.01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p/>
    <w:p/>
    <w:p/>
    <w:tbl>
      <w:tblPr>
        <w:tblStyle w:val="5"/>
        <w:tblW w:w="103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2020.7.8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行政部：</w:t>
            </w:r>
            <w:r>
              <w:rPr>
                <w:rFonts w:hint="eastAsia"/>
                <w:sz w:val="21"/>
                <w:szCs w:val="21"/>
                <w:lang w:eastAsia="zh-CN"/>
              </w:rPr>
              <w:t>文件化信息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，环境因素</w:t>
            </w:r>
            <w:r>
              <w:rPr>
                <w:rFonts w:hint="eastAsia"/>
                <w:sz w:val="21"/>
                <w:szCs w:val="21"/>
              </w:rPr>
              <w:t>的识别评价情况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合规义务</w:t>
            </w:r>
            <w:r>
              <w:rPr>
                <w:rFonts w:hint="eastAsia"/>
                <w:sz w:val="21"/>
                <w:szCs w:val="21"/>
              </w:rPr>
              <w:t>识别的充分性</w:t>
            </w:r>
            <w:r>
              <w:rPr>
                <w:rFonts w:hint="eastAsia"/>
                <w:sz w:val="21"/>
                <w:szCs w:val="21"/>
                <w:lang w:eastAsia="zh-CN"/>
              </w:rPr>
              <w:t>及合规性评价情况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目标、指标及</w:t>
            </w:r>
            <w:r>
              <w:rPr>
                <w:rFonts w:hint="eastAsia"/>
                <w:sz w:val="21"/>
                <w:szCs w:val="21"/>
              </w:rPr>
              <w:t>管理方案的可行性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涉及条款：6.1.2/6.1.3/6.2.2/7.5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13:00-16:30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/>
                <w:sz w:val="21"/>
                <w:szCs w:val="21"/>
              </w:rPr>
              <w:t>现场基本情况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/>
                <w:sz w:val="21"/>
                <w:szCs w:val="21"/>
              </w:rPr>
              <w:t>的识别评价情况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；应急准备及响应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0F0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2020-07-07T23:55:42Z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