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11572-2024-Q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法维莱人工环境科技（南京）有限公司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91320113MA25QNPL0C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法维莱人工环境科技（南京）有限公司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南京市栖霞区尧化街道科创路1号金港科创园二期3栋818室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南京市栖霞区尧化街道科创路1号金港科创园二期3栋818室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除湿机、加湿器、恒温恒湿空调的组装和销售（3C产品限有效证书范围内）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法维莱人工环境科技（南京）有限公司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南京市栖霞区尧化街道科创路1号金港科创园二期3栋818室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南京市栖霞区尧化街道科创路1号金港科创园二期3栋818室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除湿机、加湿器、恒温恒湿空调的组装和销售（3C产品限有效证书范围内）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