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r>
        <w:rPr>
          <w:sz w:val="21"/>
          <w:szCs w:val="21"/>
        </w:rPr>
        <w:t>0</w:t>
      </w:r>
      <w:r>
        <w:rPr>
          <w:rFonts w:hint="eastAsia"/>
          <w:sz w:val="21"/>
          <w:szCs w:val="21"/>
          <w:lang w:val="en-US" w:eastAsia="zh-CN"/>
        </w:rPr>
        <w:t>388</w:t>
      </w:r>
      <w:r>
        <w:rPr>
          <w:rFonts w:hint="eastAsia"/>
          <w:sz w:val="21"/>
          <w:szCs w:val="21"/>
        </w:rPr>
        <w:t>-2019-QEO</w:t>
      </w:r>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tabs>
          <w:tab w:val="left" w:pos="5241"/>
        </w:tabs>
        <w:snapToGrid w:val="0"/>
        <w:spacing w:afterLines="30"/>
        <w:jc w:val="left"/>
        <w:rPr>
          <w:rFonts w:hint="eastAsia" w:ascii="楷体" w:hAnsi="楷体" w:eastAsia="楷体"/>
          <w:b/>
          <w:color w:val="000000" w:themeColor="text1"/>
          <w:sz w:val="52"/>
          <w:szCs w:val="52"/>
          <w:lang w:eastAsia="zh-CN"/>
        </w:rPr>
      </w:pPr>
      <w:r>
        <w:rPr>
          <w:rFonts w:hint="eastAsia" w:ascii="楷体" w:hAnsi="楷体" w:eastAsia="楷体"/>
          <w:b/>
          <w:color w:val="000000" w:themeColor="text1"/>
          <w:sz w:val="52"/>
          <w:szCs w:val="52"/>
          <w:lang w:eastAsia="zh-CN"/>
        </w:rPr>
        <w:tab/>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宋体" w:hAnsi="宋体" w:eastAsia="楷体"/>
          <w:sz w:val="28"/>
          <w:szCs w:val="28"/>
          <w:lang w:eastAsia="zh-CN"/>
        </w:rPr>
        <w:t>河北桑莱特检测技术服务有限公司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077"/>
        <w:gridCol w:w="1225"/>
        <w:gridCol w:w="1527"/>
        <w:gridCol w:w="623"/>
        <w:gridCol w:w="93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91"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934"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216" w:type="dxa"/>
            <w:gridSpan w:val="3"/>
            <w:vAlign w:val="center"/>
          </w:tcPr>
          <w:p>
            <w:pPr>
              <w:rPr>
                <w:b/>
                <w:color w:val="000000" w:themeColor="text1"/>
                <w:sz w:val="20"/>
                <w:szCs w:val="20"/>
              </w:rPr>
            </w:pPr>
            <w:r>
              <w:rPr>
                <w:rFonts w:hint="eastAsia"/>
                <w:b/>
                <w:color w:val="000000" w:themeColor="text1"/>
                <w:sz w:val="20"/>
                <w:szCs w:val="20"/>
              </w:rPr>
              <w:t>010-51095332</w:t>
            </w:r>
          </w:p>
        </w:tc>
        <w:tc>
          <w:tcPr>
            <w:tcW w:w="1225"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623" w:type="dxa"/>
            <w:vAlign w:val="center"/>
          </w:tcPr>
          <w:p>
            <w:pPr>
              <w:rPr>
                <w:b/>
                <w:color w:val="000000" w:themeColor="text1"/>
                <w:sz w:val="20"/>
                <w:szCs w:val="20"/>
              </w:rPr>
            </w:pPr>
            <w:r>
              <w:rPr>
                <w:rFonts w:hint="eastAsia"/>
                <w:b/>
                <w:color w:val="000000" w:themeColor="text1"/>
                <w:sz w:val="20"/>
                <w:szCs w:val="20"/>
              </w:rPr>
              <w:t>邮箱</w:t>
            </w:r>
          </w:p>
        </w:tc>
        <w:tc>
          <w:tcPr>
            <w:tcW w:w="2575"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18"/>
                <w:szCs w:val="18"/>
              </w:rPr>
            </w:pPr>
            <w:r>
              <w:rPr>
                <w:rFonts w:hint="eastAsia"/>
                <w:sz w:val="18"/>
                <w:szCs w:val="18"/>
              </w:rPr>
              <w:t>姓名</w:t>
            </w:r>
          </w:p>
        </w:tc>
        <w:tc>
          <w:tcPr>
            <w:tcW w:w="992" w:type="dxa"/>
            <w:vAlign w:val="center"/>
          </w:tcPr>
          <w:p>
            <w:pPr>
              <w:spacing w:line="240" w:lineRule="exact"/>
              <w:jc w:val="center"/>
              <w:rPr>
                <w:b/>
                <w:color w:val="000000" w:themeColor="text1"/>
                <w:sz w:val="18"/>
                <w:szCs w:val="18"/>
              </w:rPr>
            </w:pPr>
            <w:r>
              <w:rPr>
                <w:rFonts w:hint="eastAsia"/>
                <w:sz w:val="18"/>
                <w:szCs w:val="18"/>
              </w:rPr>
              <w:t>组内身份</w:t>
            </w:r>
          </w:p>
        </w:tc>
        <w:tc>
          <w:tcPr>
            <w:tcW w:w="1077" w:type="dxa"/>
            <w:vAlign w:val="center"/>
          </w:tcPr>
          <w:p>
            <w:pPr>
              <w:spacing w:line="240" w:lineRule="exact"/>
              <w:jc w:val="center"/>
              <w:rPr>
                <w:b/>
                <w:color w:val="000000" w:themeColor="text1"/>
                <w:sz w:val="18"/>
                <w:szCs w:val="18"/>
              </w:rPr>
            </w:pPr>
            <w:r>
              <w:rPr>
                <w:rFonts w:hint="eastAsia"/>
                <w:sz w:val="18"/>
                <w:szCs w:val="18"/>
              </w:rPr>
              <w:t>性别</w:t>
            </w:r>
          </w:p>
        </w:tc>
        <w:tc>
          <w:tcPr>
            <w:tcW w:w="3375" w:type="dxa"/>
            <w:gridSpan w:val="3"/>
            <w:vAlign w:val="center"/>
          </w:tcPr>
          <w:p>
            <w:pPr>
              <w:spacing w:line="240" w:lineRule="exact"/>
              <w:jc w:val="center"/>
              <w:rPr>
                <w:b/>
                <w:color w:val="000000" w:themeColor="text1"/>
                <w:sz w:val="18"/>
                <w:szCs w:val="18"/>
              </w:rPr>
            </w:pPr>
            <w:r>
              <w:rPr>
                <w:rFonts w:hint="eastAsia"/>
                <w:sz w:val="18"/>
                <w:szCs w:val="18"/>
              </w:rPr>
              <w:t>注册资格</w:t>
            </w:r>
          </w:p>
        </w:tc>
        <w:tc>
          <w:tcPr>
            <w:tcW w:w="2575" w:type="dxa"/>
            <w:gridSpan w:val="2"/>
            <w:vAlign w:val="center"/>
          </w:tcPr>
          <w:p>
            <w:pPr>
              <w:spacing w:line="240" w:lineRule="exact"/>
              <w:jc w:val="center"/>
              <w:rPr>
                <w:b/>
                <w:color w:val="000000" w:themeColor="text1"/>
                <w:sz w:val="18"/>
                <w:szCs w:val="18"/>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sz w:val="18"/>
                <w:szCs w:val="18"/>
              </w:rPr>
            </w:pPr>
            <w:r>
              <w:rPr>
                <w:rFonts w:hint="eastAsia"/>
                <w:sz w:val="18"/>
                <w:szCs w:val="18"/>
              </w:rPr>
              <w:t>吉洁</w:t>
            </w:r>
          </w:p>
        </w:tc>
        <w:tc>
          <w:tcPr>
            <w:tcW w:w="992" w:type="dxa"/>
            <w:vAlign w:val="center"/>
          </w:tcPr>
          <w:p>
            <w:pPr>
              <w:spacing w:line="240" w:lineRule="exact"/>
              <w:jc w:val="center"/>
              <w:rPr>
                <w:rFonts w:hint="eastAsia"/>
                <w:sz w:val="18"/>
                <w:szCs w:val="18"/>
              </w:rPr>
            </w:pPr>
            <w:r>
              <w:rPr>
                <w:rFonts w:hint="eastAsia"/>
                <w:sz w:val="18"/>
                <w:szCs w:val="18"/>
              </w:rPr>
              <w:t>组长</w:t>
            </w:r>
          </w:p>
        </w:tc>
        <w:tc>
          <w:tcPr>
            <w:tcW w:w="1077" w:type="dxa"/>
            <w:vAlign w:val="center"/>
          </w:tcPr>
          <w:p>
            <w:pPr>
              <w:spacing w:line="240" w:lineRule="exact"/>
              <w:jc w:val="center"/>
              <w:rPr>
                <w:rFonts w:hint="eastAsia"/>
                <w:sz w:val="18"/>
                <w:szCs w:val="18"/>
              </w:rPr>
            </w:pPr>
            <w:r>
              <w:rPr>
                <w:rFonts w:hint="eastAsia"/>
                <w:sz w:val="18"/>
                <w:szCs w:val="18"/>
              </w:rPr>
              <w:t>女</w:t>
            </w:r>
          </w:p>
        </w:tc>
        <w:tc>
          <w:tcPr>
            <w:tcW w:w="3375" w:type="dxa"/>
            <w:gridSpan w:val="3"/>
            <w:vAlign w:val="center"/>
          </w:tcPr>
          <w:p>
            <w:pPr>
              <w:spacing w:line="240" w:lineRule="exact"/>
              <w:jc w:val="center"/>
              <w:rPr>
                <w:rFonts w:hint="eastAsia"/>
                <w:sz w:val="18"/>
                <w:szCs w:val="18"/>
              </w:rPr>
            </w:pPr>
            <w:r>
              <w:rPr>
                <w:rFonts w:hint="eastAsia"/>
                <w:sz w:val="18"/>
                <w:szCs w:val="18"/>
              </w:rPr>
              <w:t>QEO:审核员</w:t>
            </w:r>
          </w:p>
        </w:tc>
        <w:tc>
          <w:tcPr>
            <w:tcW w:w="2575" w:type="dxa"/>
            <w:gridSpan w:val="2"/>
            <w:vAlign w:val="center"/>
          </w:tcPr>
          <w:p>
            <w:pPr>
              <w:spacing w:line="240" w:lineRule="exact"/>
              <w:jc w:val="center"/>
              <w:rPr>
                <w:rFonts w:hint="eastAsia"/>
                <w:sz w:val="18"/>
                <w:szCs w:val="18"/>
              </w:rPr>
            </w:pPr>
            <w:r>
              <w:rPr>
                <w:rFonts w:hint="eastAsia"/>
                <w:sz w:val="18"/>
                <w:szCs w:val="18"/>
                <w:lang w:val="en-US" w:eastAsia="zh-CN"/>
              </w:rPr>
              <w:t>QE</w:t>
            </w:r>
            <w:r>
              <w:rPr>
                <w:rFonts w:hint="eastAsia"/>
                <w:sz w:val="18"/>
                <w:szCs w:val="18"/>
              </w:rP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sz w:val="18"/>
                <w:szCs w:val="18"/>
              </w:rPr>
            </w:pPr>
            <w:r>
              <w:rPr>
                <w:rFonts w:hint="eastAsia"/>
                <w:sz w:val="18"/>
                <w:szCs w:val="18"/>
              </w:rPr>
              <w:t>朱晓丽</w:t>
            </w:r>
          </w:p>
        </w:tc>
        <w:tc>
          <w:tcPr>
            <w:tcW w:w="992" w:type="dxa"/>
            <w:vAlign w:val="center"/>
          </w:tcPr>
          <w:p>
            <w:pPr>
              <w:spacing w:line="240" w:lineRule="exact"/>
              <w:jc w:val="center"/>
              <w:rPr>
                <w:rFonts w:hint="eastAsia"/>
                <w:sz w:val="18"/>
                <w:szCs w:val="18"/>
                <w:lang w:val="en-US" w:eastAsia="zh-CN"/>
              </w:rPr>
            </w:pPr>
            <w:r>
              <w:rPr>
                <w:rFonts w:hint="eastAsia"/>
                <w:sz w:val="18"/>
                <w:szCs w:val="18"/>
              </w:rPr>
              <w:t>组员</w:t>
            </w:r>
          </w:p>
        </w:tc>
        <w:tc>
          <w:tcPr>
            <w:tcW w:w="1077" w:type="dxa"/>
            <w:vAlign w:val="center"/>
          </w:tcPr>
          <w:p>
            <w:pPr>
              <w:spacing w:line="240" w:lineRule="exact"/>
              <w:jc w:val="center"/>
              <w:rPr>
                <w:rFonts w:hint="eastAsia"/>
                <w:sz w:val="18"/>
                <w:szCs w:val="18"/>
              </w:rPr>
            </w:pPr>
            <w:r>
              <w:rPr>
                <w:rFonts w:hint="eastAsia"/>
                <w:sz w:val="18"/>
                <w:szCs w:val="18"/>
              </w:rPr>
              <w:t>女</w:t>
            </w:r>
          </w:p>
        </w:tc>
        <w:tc>
          <w:tcPr>
            <w:tcW w:w="3375" w:type="dxa"/>
            <w:gridSpan w:val="3"/>
            <w:vAlign w:val="center"/>
          </w:tcPr>
          <w:p>
            <w:pPr>
              <w:spacing w:line="240" w:lineRule="exact"/>
              <w:jc w:val="center"/>
              <w:rPr>
                <w:rFonts w:hint="eastAsia"/>
                <w:sz w:val="18"/>
                <w:szCs w:val="18"/>
              </w:rPr>
            </w:pPr>
            <w:r>
              <w:rPr>
                <w:rFonts w:hint="eastAsia"/>
                <w:sz w:val="18"/>
                <w:szCs w:val="18"/>
              </w:rPr>
              <w:t>QE:审核员</w:t>
            </w:r>
          </w:p>
        </w:tc>
        <w:tc>
          <w:tcPr>
            <w:tcW w:w="2575" w:type="dxa"/>
            <w:gridSpan w:val="2"/>
            <w:vAlign w:val="center"/>
          </w:tcPr>
          <w:p>
            <w:pPr>
              <w:spacing w:line="24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eastAsia"/>
                <w:sz w:val="18"/>
                <w:szCs w:val="18"/>
              </w:rPr>
            </w:pPr>
            <w:r>
              <w:rPr>
                <w:rFonts w:hint="eastAsia"/>
                <w:sz w:val="18"/>
                <w:szCs w:val="18"/>
              </w:rPr>
              <w:t>姓名</w:t>
            </w:r>
          </w:p>
        </w:tc>
        <w:tc>
          <w:tcPr>
            <w:tcW w:w="992" w:type="dxa"/>
            <w:vAlign w:val="center"/>
          </w:tcPr>
          <w:p>
            <w:pPr>
              <w:spacing w:line="240" w:lineRule="exact"/>
              <w:jc w:val="center"/>
              <w:rPr>
                <w:rFonts w:hint="eastAsia"/>
                <w:sz w:val="18"/>
                <w:szCs w:val="18"/>
              </w:rPr>
            </w:pPr>
            <w:r>
              <w:rPr>
                <w:rFonts w:hint="eastAsia"/>
                <w:sz w:val="18"/>
                <w:szCs w:val="18"/>
              </w:rPr>
              <w:t>性别</w:t>
            </w:r>
          </w:p>
        </w:tc>
        <w:tc>
          <w:tcPr>
            <w:tcW w:w="1077" w:type="dxa"/>
            <w:vAlign w:val="center"/>
          </w:tcPr>
          <w:p>
            <w:pPr>
              <w:spacing w:line="240" w:lineRule="exact"/>
              <w:jc w:val="center"/>
              <w:rPr>
                <w:rFonts w:hint="eastAsia"/>
                <w:sz w:val="18"/>
                <w:szCs w:val="18"/>
              </w:rPr>
            </w:pPr>
            <w:r>
              <w:rPr>
                <w:rFonts w:hint="eastAsia"/>
                <w:sz w:val="18"/>
                <w:szCs w:val="18"/>
              </w:rPr>
              <w:t>角色</w:t>
            </w:r>
          </w:p>
        </w:tc>
        <w:tc>
          <w:tcPr>
            <w:tcW w:w="3375" w:type="dxa"/>
            <w:gridSpan w:val="3"/>
            <w:vAlign w:val="center"/>
          </w:tcPr>
          <w:p>
            <w:pPr>
              <w:spacing w:line="240" w:lineRule="exact"/>
              <w:jc w:val="center"/>
              <w:rPr>
                <w:rFonts w:hint="eastAsia"/>
                <w:sz w:val="18"/>
                <w:szCs w:val="18"/>
              </w:rPr>
            </w:pPr>
            <w:r>
              <w:rPr>
                <w:rFonts w:hint="eastAsia"/>
                <w:sz w:val="18"/>
                <w:szCs w:val="18"/>
              </w:rPr>
              <w:t>工作单位</w:t>
            </w:r>
          </w:p>
        </w:tc>
        <w:tc>
          <w:tcPr>
            <w:tcW w:w="2575" w:type="dxa"/>
            <w:gridSpan w:val="2"/>
            <w:vAlign w:val="center"/>
          </w:tcPr>
          <w:p>
            <w:pPr>
              <w:spacing w:line="240" w:lineRule="exact"/>
              <w:jc w:val="center"/>
              <w:rPr>
                <w:rFonts w:hint="eastAsia"/>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eastAsia"/>
                <w:sz w:val="18"/>
                <w:szCs w:val="18"/>
                <w:lang w:val="en-US" w:eastAsia="zh-CN"/>
              </w:rPr>
            </w:pPr>
            <w:r>
              <w:rPr>
                <w:rFonts w:hint="eastAsia"/>
                <w:sz w:val="18"/>
                <w:szCs w:val="18"/>
                <w:lang w:val="en-US" w:eastAsia="zh-CN"/>
              </w:rPr>
              <w:t>陈亮、陈超</w:t>
            </w:r>
          </w:p>
        </w:tc>
        <w:tc>
          <w:tcPr>
            <w:tcW w:w="992" w:type="dxa"/>
            <w:vAlign w:val="center"/>
          </w:tcPr>
          <w:p>
            <w:pPr>
              <w:spacing w:line="240" w:lineRule="exact"/>
              <w:jc w:val="center"/>
              <w:rPr>
                <w:rFonts w:hint="eastAsia"/>
                <w:sz w:val="18"/>
                <w:szCs w:val="18"/>
              </w:rPr>
            </w:pPr>
            <w:r>
              <w:rPr>
                <w:rFonts w:hint="eastAsia"/>
                <w:sz w:val="18"/>
                <w:szCs w:val="18"/>
                <w:lang w:val="en-US" w:eastAsia="zh-CN"/>
              </w:rPr>
              <w:t>男</w:t>
            </w:r>
          </w:p>
        </w:tc>
        <w:tc>
          <w:tcPr>
            <w:tcW w:w="1077" w:type="dxa"/>
            <w:vAlign w:val="center"/>
          </w:tcPr>
          <w:p>
            <w:pPr>
              <w:spacing w:line="240" w:lineRule="exact"/>
              <w:jc w:val="center"/>
              <w:rPr>
                <w:rFonts w:hint="eastAsia"/>
                <w:sz w:val="18"/>
                <w:szCs w:val="18"/>
              </w:rPr>
            </w:pPr>
            <w:r>
              <w:rPr>
                <w:rFonts w:hint="eastAsia"/>
                <w:sz w:val="18"/>
                <w:szCs w:val="18"/>
                <w:lang w:val="en-US" w:eastAsia="zh-CN"/>
              </w:rPr>
              <w:t>向导</w:t>
            </w:r>
          </w:p>
        </w:tc>
        <w:tc>
          <w:tcPr>
            <w:tcW w:w="3375" w:type="dxa"/>
            <w:gridSpan w:val="3"/>
            <w:vAlign w:val="center"/>
          </w:tcPr>
          <w:p>
            <w:pPr>
              <w:spacing w:line="240" w:lineRule="exact"/>
              <w:jc w:val="center"/>
              <w:rPr>
                <w:rFonts w:hint="eastAsia"/>
                <w:sz w:val="18"/>
                <w:szCs w:val="18"/>
                <w:lang w:eastAsia="zh-CN"/>
              </w:rPr>
            </w:pPr>
            <w:r>
              <w:rPr>
                <w:rFonts w:hint="eastAsia"/>
                <w:sz w:val="18"/>
                <w:szCs w:val="18"/>
                <w:lang w:eastAsia="zh-CN"/>
              </w:rPr>
              <w:t>河北桑莱特检测技术服务有限公司</w:t>
            </w:r>
          </w:p>
        </w:tc>
        <w:tc>
          <w:tcPr>
            <w:tcW w:w="2575" w:type="dxa"/>
            <w:gridSpan w:val="2"/>
            <w:vAlign w:val="center"/>
          </w:tcPr>
          <w:p>
            <w:pPr>
              <w:spacing w:line="240" w:lineRule="exact"/>
              <w:jc w:val="center"/>
              <w:rPr>
                <w:rFonts w:hint="eastAsia"/>
                <w:sz w:val="18"/>
                <w:szCs w:val="18"/>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796"/>
        <w:gridCol w:w="1080"/>
        <w:gridCol w:w="282"/>
        <w:gridCol w:w="987"/>
        <w:gridCol w:w="610"/>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743" w:type="dxa"/>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755" w:type="dxa"/>
            <w:gridSpan w:val="5"/>
          </w:tcPr>
          <w:p>
            <w:pPr>
              <w:spacing w:line="320" w:lineRule="exact"/>
              <w:jc w:val="left"/>
              <w:rPr>
                <w:rFonts w:hint="eastAsia" w:ascii="宋体" w:hAnsi="宋体" w:eastAsia="宋体"/>
                <w:b/>
                <w:color w:val="000000" w:themeColor="text1"/>
                <w:sz w:val="20"/>
                <w:szCs w:val="20"/>
                <w:lang w:eastAsia="zh-CN"/>
              </w:rPr>
            </w:pPr>
            <w:r>
              <w:rPr>
                <w:rFonts w:hint="eastAsia" w:ascii="宋体"/>
                <w:b/>
                <w:color w:val="000000"/>
                <w:sz w:val="20"/>
                <w:szCs w:val="20"/>
                <w:lang w:eastAsia="zh-CN"/>
              </w:rPr>
              <w:t>河北桑莱特检测技术服务有限公司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743" w:type="dxa"/>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296" w:type="dxa"/>
            <w:gridSpan w:val="11"/>
          </w:tcPr>
          <w:p>
            <w:pPr>
              <w:spacing w:line="320" w:lineRule="exact"/>
              <w:jc w:val="left"/>
              <w:rPr>
                <w:rFonts w:ascii="宋体" w:hAnsi="宋体"/>
                <w:b/>
                <w:color w:val="000000" w:themeColor="text1"/>
                <w:sz w:val="20"/>
                <w:szCs w:val="20"/>
              </w:rPr>
            </w:pPr>
            <w:bookmarkStart w:id="0" w:name="注册地址"/>
            <w:r>
              <w:rPr>
                <w:rFonts w:ascii="宋体"/>
                <w:b/>
                <w:color w:val="000000"/>
                <w:sz w:val="20"/>
                <w:szCs w:val="20"/>
              </w:rPr>
              <w:t>石家庄高新区天桂街65号南楼206室</w:t>
            </w:r>
            <w:bookmarkEnd w:id="0"/>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jc w:val="left"/>
              <w:rPr>
                <w:rFonts w:hint="default" w:ascii="Times New Roman" w:hAnsi="Times New Roman" w:eastAsia="宋体" w:cs="Times New Roman"/>
                <w:b w:val="0"/>
                <w:bCs/>
                <w:color w:val="000000" w:themeColor="text1"/>
                <w:spacing w:val="-20"/>
                <w:sz w:val="21"/>
                <w:szCs w:val="21"/>
                <w:lang w:val="en-US" w:eastAsia="zh-CN"/>
              </w:rPr>
            </w:pPr>
            <w:bookmarkStart w:id="1" w:name="注册邮编"/>
            <w:r>
              <w:rPr>
                <w:rFonts w:ascii="宋体"/>
                <w:b/>
                <w:color w:val="000000"/>
                <w:sz w:val="20"/>
                <w:szCs w:val="20"/>
              </w:rPr>
              <w:t>050035</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743"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经营地址</w:t>
            </w:r>
          </w:p>
        </w:tc>
        <w:tc>
          <w:tcPr>
            <w:tcW w:w="6296" w:type="dxa"/>
            <w:gridSpan w:val="11"/>
          </w:tcPr>
          <w:p>
            <w:pPr>
              <w:spacing w:line="320" w:lineRule="exact"/>
              <w:rPr>
                <w:rFonts w:ascii="宋体" w:hAnsi="宋体"/>
                <w:b/>
                <w:color w:val="000000" w:themeColor="text1"/>
                <w:sz w:val="20"/>
                <w:szCs w:val="20"/>
              </w:rPr>
            </w:pPr>
            <w:r>
              <w:rPr>
                <w:rFonts w:ascii="宋体"/>
                <w:b/>
                <w:color w:val="000000"/>
                <w:sz w:val="20"/>
                <w:szCs w:val="20"/>
              </w:rPr>
              <w:t>石家庄高新区天桂街65号</w:t>
            </w:r>
            <w:r>
              <w:rPr>
                <w:rFonts w:hint="eastAsia" w:ascii="宋体"/>
                <w:b/>
                <w:color w:val="000000"/>
                <w:sz w:val="20"/>
                <w:szCs w:val="20"/>
                <w:lang w:val="en-US" w:eastAsia="zh-CN"/>
              </w:rPr>
              <w:t>北</w:t>
            </w:r>
            <w:r>
              <w:rPr>
                <w:rFonts w:ascii="宋体"/>
                <w:b/>
                <w:color w:val="000000"/>
                <w:sz w:val="20"/>
                <w:szCs w:val="20"/>
              </w:rPr>
              <w:t>楼</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hint="default" w:ascii="Times New Roman" w:hAnsi="Times New Roman" w:eastAsia="宋体" w:cs="Times New Roman"/>
                <w:b w:val="0"/>
                <w:bCs/>
                <w:color w:val="000000" w:themeColor="text1"/>
                <w:sz w:val="21"/>
                <w:szCs w:val="21"/>
                <w:lang w:val="en-US" w:eastAsia="zh-CN"/>
              </w:rPr>
            </w:pPr>
            <w:r>
              <w:rPr>
                <w:rFonts w:ascii="宋体"/>
                <w:b/>
                <w:color w:val="000000"/>
                <w:sz w:val="20"/>
                <w:szCs w:val="20"/>
              </w:rPr>
              <w:t>050035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743" w:type="dxa"/>
            <w:vAlign w:val="center"/>
          </w:tcPr>
          <w:p>
            <w:pPr>
              <w:spacing w:line="280" w:lineRule="exact"/>
              <w:jc w:val="center"/>
              <w:rPr>
                <w:rFonts w:ascii="宋体" w:hAnsi="宋体"/>
                <w:b/>
                <w:color w:val="000000" w:themeColor="text1"/>
                <w:sz w:val="20"/>
                <w:szCs w:val="20"/>
              </w:rPr>
            </w:pPr>
            <w:r>
              <w:rPr>
                <w:rFonts w:hint="eastAsia" w:ascii="宋体" w:hAnsi="宋体"/>
                <w:b/>
                <w:color w:val="000000"/>
                <w:sz w:val="20"/>
                <w:szCs w:val="20"/>
              </w:rPr>
              <w:t>联系人</w:t>
            </w:r>
          </w:p>
        </w:tc>
        <w:tc>
          <w:tcPr>
            <w:tcW w:w="1796" w:type="dxa"/>
            <w:vAlign w:val="center"/>
          </w:tcPr>
          <w:p>
            <w:pPr>
              <w:spacing w:line="280" w:lineRule="exact"/>
              <w:jc w:val="both"/>
              <w:rPr>
                <w:rFonts w:hint="eastAsia" w:ascii="宋体" w:hAnsi="宋体" w:eastAsia="宋体"/>
                <w:b/>
                <w:color w:val="000000" w:themeColor="text1"/>
                <w:sz w:val="20"/>
                <w:szCs w:val="20"/>
                <w:lang w:val="en-US" w:eastAsia="zh-CN"/>
              </w:rPr>
            </w:pPr>
            <w:r>
              <w:rPr>
                <w:rFonts w:ascii="宋体"/>
                <w:b/>
                <w:color w:val="000000"/>
                <w:sz w:val="20"/>
                <w:szCs w:val="20"/>
              </w:rPr>
              <w:t>张鑫</w:t>
            </w:r>
          </w:p>
        </w:tc>
        <w:tc>
          <w:tcPr>
            <w:tcW w:w="1362" w:type="dxa"/>
            <w:gridSpan w:val="2"/>
            <w:vAlign w:val="center"/>
          </w:tcPr>
          <w:p>
            <w:pPr>
              <w:spacing w:line="280" w:lineRule="exact"/>
              <w:jc w:val="both"/>
              <w:rPr>
                <w:rFonts w:ascii="宋体" w:hAnsi="宋体"/>
                <w:b/>
                <w:color w:val="000000" w:themeColor="text1"/>
                <w:sz w:val="20"/>
                <w:szCs w:val="20"/>
              </w:rPr>
            </w:pPr>
            <w:r>
              <w:rPr>
                <w:rFonts w:hint="eastAsia" w:ascii="宋体" w:hAnsi="宋体"/>
                <w:b/>
                <w:color w:val="000000"/>
                <w:sz w:val="20"/>
                <w:szCs w:val="20"/>
              </w:rPr>
              <w:t>电话</w:t>
            </w:r>
          </w:p>
        </w:tc>
        <w:tc>
          <w:tcPr>
            <w:tcW w:w="1993" w:type="dxa"/>
            <w:gridSpan w:val="3"/>
            <w:vAlign w:val="center"/>
          </w:tcPr>
          <w:p>
            <w:pPr>
              <w:spacing w:line="280" w:lineRule="exact"/>
              <w:jc w:val="both"/>
              <w:rPr>
                <w:rFonts w:ascii="宋体" w:hAnsi="宋体"/>
                <w:b/>
                <w:color w:val="000000" w:themeColor="text1"/>
                <w:sz w:val="20"/>
                <w:szCs w:val="20"/>
              </w:rPr>
            </w:pPr>
            <w:r>
              <w:rPr>
                <w:rFonts w:hint="eastAsia"/>
                <w:sz w:val="21"/>
                <w:szCs w:val="21"/>
                <w:lang w:val="en-US" w:eastAsia="zh-CN"/>
              </w:rPr>
              <w:t>18630113601</w:t>
            </w:r>
          </w:p>
        </w:tc>
        <w:tc>
          <w:tcPr>
            <w:tcW w:w="965" w:type="dxa"/>
            <w:gridSpan w:val="3"/>
            <w:vAlign w:val="center"/>
          </w:tcPr>
          <w:p>
            <w:pPr>
              <w:spacing w:line="280" w:lineRule="exact"/>
              <w:jc w:val="both"/>
              <w:rPr>
                <w:rFonts w:ascii="宋体" w:hAnsi="宋体"/>
                <w:b/>
                <w:color w:val="000000" w:themeColor="text1"/>
                <w:sz w:val="20"/>
                <w:szCs w:val="20"/>
              </w:rPr>
            </w:pPr>
            <w:r>
              <w:rPr>
                <w:rFonts w:hint="eastAsia" w:ascii="宋体" w:hAnsi="宋体"/>
                <w:b/>
                <w:color w:val="000000"/>
                <w:sz w:val="20"/>
                <w:szCs w:val="20"/>
              </w:rPr>
              <w:t>传真</w:t>
            </w:r>
          </w:p>
        </w:tc>
        <w:tc>
          <w:tcPr>
            <w:tcW w:w="2017" w:type="dxa"/>
            <w:gridSpan w:val="4"/>
            <w:vAlign w:val="center"/>
          </w:tcPr>
          <w:p>
            <w:pPr>
              <w:spacing w:line="280" w:lineRule="exact"/>
              <w:jc w:val="both"/>
              <w:rPr>
                <w:rFonts w:hint="eastAsia" w:ascii="宋体" w:hAnsi="宋体" w:eastAsia="宋体"/>
                <w:b/>
                <w:color w:val="000000" w:themeColor="text1"/>
                <w:sz w:val="20"/>
                <w:szCs w:val="20"/>
                <w:lang w:val="en-US" w:eastAsia="zh-CN"/>
              </w:rPr>
            </w:pPr>
            <w:r>
              <w:rPr>
                <w:rFonts w:ascii="宋体"/>
                <w:b/>
                <w:color w:val="000000"/>
                <w:sz w:val="20"/>
                <w:szCs w:val="20"/>
              </w:rPr>
              <w:t>0311-85854385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3" w:type="dxa"/>
            <w:vAlign w:val="center"/>
          </w:tcPr>
          <w:p>
            <w:pPr>
              <w:jc w:val="center"/>
              <w:rPr>
                <w:rFonts w:ascii="宋体" w:hAnsi="宋体"/>
                <w:b/>
                <w:color w:val="000000" w:themeColor="text1"/>
                <w:spacing w:val="-20"/>
                <w:sz w:val="20"/>
                <w:szCs w:val="20"/>
              </w:rPr>
            </w:pPr>
            <w:r>
              <w:rPr>
                <w:rFonts w:hint="eastAsia" w:ascii="宋体" w:hAnsi="宋体"/>
                <w:b/>
                <w:color w:val="000000"/>
                <w:sz w:val="20"/>
                <w:szCs w:val="20"/>
              </w:rPr>
              <w:t>法人代表</w:t>
            </w:r>
          </w:p>
        </w:tc>
        <w:tc>
          <w:tcPr>
            <w:tcW w:w="1796" w:type="dxa"/>
            <w:vAlign w:val="center"/>
          </w:tcPr>
          <w:p>
            <w:pPr>
              <w:jc w:val="both"/>
              <w:rPr>
                <w:rFonts w:hint="eastAsia" w:ascii="宋体" w:hAnsi="宋体" w:eastAsia="宋体"/>
                <w:b/>
                <w:color w:val="000000" w:themeColor="text1"/>
                <w:sz w:val="20"/>
                <w:szCs w:val="20"/>
                <w:lang w:val="en-US" w:eastAsia="zh-CN"/>
              </w:rPr>
            </w:pPr>
            <w:r>
              <w:rPr>
                <w:rFonts w:ascii="宋体"/>
                <w:b/>
                <w:color w:val="000000"/>
                <w:sz w:val="20"/>
                <w:szCs w:val="20"/>
              </w:rPr>
              <w:t>张鑫</w:t>
            </w:r>
          </w:p>
        </w:tc>
        <w:tc>
          <w:tcPr>
            <w:tcW w:w="1362" w:type="dxa"/>
            <w:gridSpan w:val="2"/>
            <w:vAlign w:val="center"/>
          </w:tcPr>
          <w:p>
            <w:pPr>
              <w:jc w:val="both"/>
              <w:rPr>
                <w:rFonts w:ascii="宋体" w:hAnsi="宋体"/>
                <w:b/>
                <w:color w:val="000000" w:themeColor="text1"/>
                <w:sz w:val="20"/>
                <w:szCs w:val="20"/>
              </w:rPr>
            </w:pPr>
            <w:r>
              <w:rPr>
                <w:rFonts w:hint="eastAsia" w:ascii="宋体" w:hAnsi="宋体"/>
                <w:b/>
                <w:color w:val="000000"/>
                <w:sz w:val="20"/>
                <w:szCs w:val="20"/>
              </w:rPr>
              <w:t>管理者代表</w:t>
            </w:r>
          </w:p>
        </w:tc>
        <w:tc>
          <w:tcPr>
            <w:tcW w:w="1993" w:type="dxa"/>
            <w:gridSpan w:val="3"/>
            <w:vAlign w:val="center"/>
          </w:tcPr>
          <w:p>
            <w:pPr>
              <w:jc w:val="both"/>
              <w:rPr>
                <w:rFonts w:hint="eastAsia" w:ascii="宋体" w:hAnsi="宋体" w:eastAsia="宋体"/>
                <w:b/>
                <w:color w:val="000000" w:themeColor="text1"/>
                <w:spacing w:val="-20"/>
                <w:sz w:val="20"/>
                <w:szCs w:val="20"/>
                <w:lang w:val="en-US" w:eastAsia="zh-CN"/>
              </w:rPr>
            </w:pPr>
            <w:r>
              <w:rPr>
                <w:rFonts w:hint="eastAsia" w:ascii="宋体"/>
                <w:b/>
                <w:color w:val="000000"/>
                <w:sz w:val="20"/>
                <w:szCs w:val="20"/>
                <w:lang w:val="en-US" w:eastAsia="zh-CN"/>
              </w:rPr>
              <w:t>尹品辉</w:t>
            </w:r>
          </w:p>
        </w:tc>
        <w:tc>
          <w:tcPr>
            <w:tcW w:w="965" w:type="dxa"/>
            <w:gridSpan w:val="3"/>
            <w:vAlign w:val="center"/>
          </w:tcPr>
          <w:p>
            <w:pPr>
              <w:jc w:val="both"/>
              <w:rPr>
                <w:rFonts w:ascii="宋体" w:hAnsi="宋体"/>
                <w:b/>
                <w:color w:val="000000" w:themeColor="text1"/>
                <w:sz w:val="20"/>
                <w:szCs w:val="20"/>
              </w:rPr>
            </w:pPr>
            <w:r>
              <w:rPr>
                <w:rFonts w:hint="eastAsia" w:ascii="宋体"/>
                <w:b/>
                <w:color w:val="000000"/>
                <w:sz w:val="20"/>
                <w:szCs w:val="20"/>
              </w:rPr>
              <w:t>邮箱</w:t>
            </w:r>
          </w:p>
        </w:tc>
        <w:tc>
          <w:tcPr>
            <w:tcW w:w="2017" w:type="dxa"/>
            <w:gridSpan w:val="4"/>
            <w:vAlign w:val="top"/>
          </w:tcPr>
          <w:p>
            <w:pPr>
              <w:rPr>
                <w:rFonts w:ascii="宋体" w:hAnsi="宋体"/>
                <w:b/>
                <w:color w:val="000000" w:themeColor="text1"/>
                <w:sz w:val="20"/>
                <w:szCs w:val="20"/>
              </w:rPr>
            </w:pPr>
            <w:r>
              <w:rPr>
                <w:rFonts w:hint="eastAsia"/>
                <w:sz w:val="21"/>
                <w:szCs w:val="21"/>
                <w:lang w:val="en-US" w:eastAsia="zh-CN"/>
              </w:rPr>
              <w:t>sltnet@126.com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1743"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8133" w:type="dxa"/>
            <w:gridSpan w:val="13"/>
          </w:tcPr>
          <w:p>
            <w:pPr>
              <w:spacing w:line="280" w:lineRule="exact"/>
              <w:jc w:val="both"/>
              <w:rPr>
                <w:rFonts w:ascii="宋体" w:hAnsi="Times New Roman" w:cs="Times New Roman"/>
                <w:b/>
                <w:color w:val="000000"/>
                <w:sz w:val="20"/>
                <w:szCs w:val="20"/>
              </w:rPr>
            </w:pPr>
            <w:bookmarkStart w:id="2" w:name="审核范围"/>
            <w:r>
              <w:rPr>
                <w:rFonts w:ascii="宋体" w:hAnsi="Times New Roman" w:cs="Times New Roman"/>
                <w:b/>
                <w:color w:val="000000"/>
                <w:sz w:val="20"/>
                <w:szCs w:val="20"/>
              </w:rPr>
              <w:t>O：资质范围内的检测技术服务（光伏发电站的检测及服务）及其所涉及场所的职业健康安全管理活动</w:t>
            </w:r>
          </w:p>
          <w:p>
            <w:pPr>
              <w:spacing w:line="280" w:lineRule="exact"/>
              <w:jc w:val="both"/>
              <w:rPr>
                <w:rFonts w:ascii="宋体" w:hAnsi="Times New Roman" w:cs="Times New Roman"/>
                <w:b/>
                <w:color w:val="000000"/>
                <w:sz w:val="20"/>
                <w:szCs w:val="20"/>
              </w:rPr>
            </w:pPr>
            <w:r>
              <w:rPr>
                <w:rFonts w:ascii="宋体" w:hAnsi="Times New Roman" w:cs="Times New Roman"/>
                <w:b/>
                <w:color w:val="000000"/>
                <w:sz w:val="20"/>
                <w:szCs w:val="20"/>
              </w:rPr>
              <w:t>E：资质范围内的检测技术服务（光伏发电站的检测及服务）及其所涉及场所环境管理活动</w:t>
            </w:r>
          </w:p>
          <w:p>
            <w:pPr>
              <w:spacing w:line="320" w:lineRule="exact"/>
              <w:rPr>
                <w:rFonts w:ascii="宋体" w:hAnsi="宋体"/>
                <w:b/>
                <w:color w:val="000000" w:themeColor="text1"/>
                <w:sz w:val="20"/>
                <w:szCs w:val="20"/>
                <w:u w:val="single"/>
                <w:lang w:val="en-GB"/>
              </w:rPr>
            </w:pPr>
            <w:r>
              <w:rPr>
                <w:rFonts w:ascii="宋体" w:hAnsi="Times New Roman" w:cs="Times New Roman"/>
                <w:b/>
                <w:color w:val="000000"/>
                <w:sz w:val="20"/>
                <w:szCs w:val="20"/>
              </w:rPr>
              <w:t>Q：资质范围内的检测技术服务（光伏发电站的检测及服务）</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1743"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4145" w:type="dxa"/>
            <w:gridSpan w:val="4"/>
            <w:vAlign w:val="center"/>
          </w:tcPr>
          <w:p>
            <w:pPr>
              <w:spacing w:line="320" w:lineRule="exact"/>
              <w:jc w:val="both"/>
              <w:rPr>
                <w:rFonts w:ascii="宋体" w:hAnsi="宋体"/>
                <w:b/>
                <w:color w:val="000000" w:themeColor="text1"/>
                <w:sz w:val="20"/>
                <w:szCs w:val="20"/>
              </w:rPr>
            </w:pPr>
            <w:bookmarkStart w:id="3" w:name="专业代码"/>
            <w:r>
              <w:rPr>
                <w:rFonts w:ascii="宋体"/>
                <w:b/>
                <w:color w:val="000000"/>
                <w:sz w:val="20"/>
                <w:szCs w:val="20"/>
              </w:rPr>
              <w:t>34.02.00</w:t>
            </w:r>
            <w:bookmarkEnd w:id="3"/>
          </w:p>
        </w:tc>
        <w:tc>
          <w:tcPr>
            <w:tcW w:w="2127" w:type="dxa"/>
            <w:gridSpan w:val="6"/>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743"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876" w:type="dxa"/>
            <w:gridSpan w:val="2"/>
            <w:vAlign w:val="center"/>
          </w:tcPr>
          <w:p>
            <w:pPr>
              <w:jc w:val="center"/>
              <w:rPr>
                <w:rFonts w:hint="default" w:ascii="宋体" w:hAnsi="宋体" w:eastAsia="宋体"/>
                <w:b/>
                <w:color w:val="000000" w:themeColor="text1"/>
                <w:sz w:val="20"/>
                <w:szCs w:val="20"/>
                <w:lang w:val="en-US" w:eastAsia="zh-CN"/>
              </w:rPr>
            </w:pPr>
            <w:r>
              <w:rPr>
                <w:rFonts w:hint="eastAsia" w:ascii="宋体"/>
                <w:b/>
                <w:color w:val="000000"/>
                <w:sz w:val="20"/>
                <w:szCs w:val="20"/>
                <w:lang w:val="en-US" w:eastAsia="zh-CN"/>
              </w:rPr>
              <w:t>2019年4月1日</w:t>
            </w:r>
          </w:p>
        </w:tc>
        <w:tc>
          <w:tcPr>
            <w:tcW w:w="2403" w:type="dxa"/>
            <w:gridSpan w:val="5"/>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43"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133" w:type="dxa"/>
            <w:gridSpan w:val="13"/>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ascii="宋体"/>
                <w:b/>
                <w:color w:val="000000"/>
                <w:sz w:val="20"/>
                <w:szCs w:val="20"/>
              </w:rPr>
              <w:t>石家庄高新区天桂街65号</w:t>
            </w:r>
            <w:r>
              <w:rPr>
                <w:rFonts w:hint="eastAsia" w:ascii="宋体"/>
                <w:b/>
                <w:color w:val="000000"/>
                <w:sz w:val="20"/>
                <w:szCs w:val="20"/>
                <w:lang w:val="en-US" w:eastAsia="zh-CN"/>
              </w:rPr>
              <w:t>北</w:t>
            </w:r>
            <w:r>
              <w:rPr>
                <w:rFonts w:ascii="宋体"/>
                <w:b/>
                <w:color w:val="000000"/>
                <w:sz w:val="20"/>
                <w:szCs w:val="20"/>
              </w:rPr>
              <w:t>楼</w:t>
            </w:r>
            <w:r>
              <w:rPr>
                <w:rFonts w:hint="eastAsia" w:ascii="宋体"/>
                <w:b/>
                <w:color w:val="000000"/>
                <w:sz w:val="20"/>
                <w:szCs w:val="20"/>
                <w:lang w:val="en-US" w:eastAsia="zh-CN"/>
              </w:rPr>
              <w:t>楼顶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43"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8133" w:type="dxa"/>
            <w:gridSpan w:val="13"/>
          </w:tcPr>
          <w:p>
            <w:pPr>
              <w:widowControl/>
              <w:jc w:val="left"/>
              <w:rPr>
                <w:rFonts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96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1963" w:type="dxa"/>
          </w:tcPr>
          <w:p>
            <w:pPr>
              <w:jc w:val="center"/>
              <w:rPr>
                <w:rFonts w:ascii="宋体" w:hAnsi="宋体"/>
                <w:b/>
                <w:color w:val="000000" w:themeColor="text1"/>
                <w:sz w:val="20"/>
                <w:szCs w:val="20"/>
              </w:rPr>
            </w:pPr>
            <w:r>
              <w:rPr>
                <w:rFonts w:hint="eastAsia"/>
                <w:sz w:val="21"/>
                <w:szCs w:val="21"/>
              </w:rPr>
              <w:t>管理层</w:t>
            </w:r>
          </w:p>
        </w:tc>
        <w:tc>
          <w:tcPr>
            <w:tcW w:w="7960" w:type="dxa"/>
          </w:tcPr>
          <w:p>
            <w:pPr>
              <w:spacing w:line="240" w:lineRule="exact"/>
              <w:rPr>
                <w:rFonts w:hint="eastAsia"/>
                <w:sz w:val="21"/>
                <w:szCs w:val="21"/>
              </w:rPr>
            </w:pPr>
            <w:r>
              <w:rPr>
                <w:rFonts w:hint="eastAsia"/>
                <w:sz w:val="21"/>
                <w:szCs w:val="21"/>
              </w:rPr>
              <w:t>Q4.1/4.2/4.3/4.4/5.1.1/5.1.2/5.2/5.3/6.1/6.2/6.3/7.1/9.1.1/9.3/10.1/10.3</w:t>
            </w:r>
          </w:p>
          <w:p>
            <w:pPr>
              <w:spacing w:line="240" w:lineRule="exact"/>
              <w:rPr>
                <w:rFonts w:hint="eastAsia"/>
                <w:sz w:val="21"/>
                <w:szCs w:val="21"/>
              </w:rPr>
            </w:pPr>
            <w:r>
              <w:rPr>
                <w:rFonts w:hint="eastAsia"/>
                <w:sz w:val="21"/>
                <w:szCs w:val="21"/>
              </w:rPr>
              <w:t>E4.1/4.2/4.3/4.4/5.1/5.2/5.3/6.1/6.2/7.1/9.1.1/9.3/10.1/10.3</w:t>
            </w:r>
          </w:p>
          <w:p>
            <w:pPr>
              <w:spacing w:line="240" w:lineRule="exact"/>
              <w:rPr>
                <w:rFonts w:ascii="宋体" w:hAnsi="宋体"/>
                <w:b/>
                <w:color w:val="000000" w:themeColor="text1"/>
                <w:spacing w:val="-20"/>
                <w:sz w:val="20"/>
                <w:szCs w:val="20"/>
                <w:u w:val="single"/>
              </w:rPr>
            </w:pPr>
            <w:r>
              <w:rPr>
                <w:rFonts w:hint="eastAsia"/>
                <w:sz w:val="21"/>
                <w:szCs w:val="21"/>
              </w:rPr>
              <w:t>S4.1/4.2/4.3/4.4/5.1/5.2/5.3/6.1/6.2/7.1/9.1.1/9.3/10.1/10.3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1963" w:type="dxa"/>
          </w:tcPr>
          <w:p>
            <w:pPr>
              <w:jc w:val="center"/>
              <w:rPr>
                <w:rFonts w:ascii="宋体" w:hAnsi="宋体"/>
                <w:b/>
                <w:color w:val="000000" w:themeColor="text1"/>
                <w:sz w:val="20"/>
                <w:szCs w:val="20"/>
              </w:rPr>
            </w:pPr>
            <w:r>
              <w:rPr>
                <w:rFonts w:hint="eastAsia"/>
                <w:sz w:val="21"/>
                <w:szCs w:val="21"/>
              </w:rPr>
              <w:t>办公室</w:t>
            </w:r>
          </w:p>
        </w:tc>
        <w:tc>
          <w:tcPr>
            <w:tcW w:w="7960" w:type="dxa"/>
          </w:tcPr>
          <w:p>
            <w:pPr>
              <w:spacing w:line="240" w:lineRule="exact"/>
              <w:rPr>
                <w:rFonts w:hint="eastAsia"/>
                <w:sz w:val="21"/>
                <w:szCs w:val="21"/>
              </w:rPr>
            </w:pPr>
            <w:r>
              <w:rPr>
                <w:rFonts w:hint="eastAsia"/>
                <w:sz w:val="21"/>
                <w:szCs w:val="21"/>
              </w:rPr>
              <w:t>Q5.3/6.2/7.1.2/7.1.6/7.2/7.3/7.4/7.5</w:t>
            </w:r>
            <w:r>
              <w:rPr>
                <w:rFonts w:hint="eastAsia"/>
                <w:sz w:val="21"/>
                <w:szCs w:val="21"/>
                <w:lang w:val="en-US" w:eastAsia="zh-CN"/>
              </w:rPr>
              <w:t>/</w:t>
            </w:r>
            <w:r>
              <w:rPr>
                <w:rFonts w:hint="eastAsia"/>
                <w:sz w:val="21"/>
                <w:szCs w:val="21"/>
              </w:rPr>
              <w:t>9.2/10.2</w:t>
            </w:r>
          </w:p>
          <w:p>
            <w:pPr>
              <w:spacing w:line="240" w:lineRule="exact"/>
              <w:rPr>
                <w:rFonts w:hint="eastAsia"/>
                <w:sz w:val="21"/>
                <w:szCs w:val="21"/>
              </w:rPr>
            </w:pPr>
            <w:r>
              <w:rPr>
                <w:rFonts w:hint="eastAsia"/>
                <w:sz w:val="21"/>
                <w:szCs w:val="21"/>
              </w:rPr>
              <w:t>E5.3/6.1.2/6.1.3/6.2/7.2/7.3/7.4/7.5/8.1/8.2/9.1/9.2/10.2</w:t>
            </w:r>
          </w:p>
          <w:p>
            <w:pPr>
              <w:spacing w:line="240" w:lineRule="exact"/>
              <w:rPr>
                <w:rFonts w:ascii="宋体" w:hAnsi="宋体"/>
                <w:b/>
                <w:color w:val="000000" w:themeColor="text1"/>
                <w:spacing w:val="-20"/>
                <w:sz w:val="20"/>
                <w:szCs w:val="20"/>
                <w:u w:val="single"/>
              </w:rPr>
            </w:pPr>
            <w:r>
              <w:rPr>
                <w:rFonts w:hint="eastAsia"/>
                <w:sz w:val="21"/>
                <w:szCs w:val="21"/>
              </w:rPr>
              <w:t>S5.3/6.1.2/6.1.3/6.2/7.2/7.3/7.4/7.5/8.1/8.2/9.1/9.2/10.2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1963" w:type="dxa"/>
          </w:tcPr>
          <w:p>
            <w:pPr>
              <w:jc w:val="center"/>
              <w:rPr>
                <w:rFonts w:hint="eastAsia" w:eastAsia="宋体"/>
                <w:sz w:val="21"/>
                <w:szCs w:val="21"/>
                <w:lang w:val="en-US" w:eastAsia="zh-CN"/>
              </w:rPr>
            </w:pPr>
            <w:r>
              <w:rPr>
                <w:rFonts w:hint="eastAsia"/>
                <w:sz w:val="21"/>
                <w:szCs w:val="21"/>
                <w:lang w:val="en-US" w:eastAsia="zh-CN"/>
              </w:rPr>
              <w:t>业务部</w:t>
            </w:r>
          </w:p>
        </w:tc>
        <w:tc>
          <w:tcPr>
            <w:tcW w:w="7960" w:type="dxa"/>
          </w:tcPr>
          <w:p>
            <w:pPr>
              <w:spacing w:line="240" w:lineRule="exact"/>
              <w:rPr>
                <w:rFonts w:hint="eastAsia"/>
                <w:sz w:val="21"/>
                <w:szCs w:val="21"/>
              </w:rPr>
            </w:pPr>
            <w:r>
              <w:rPr>
                <w:rFonts w:hint="eastAsia"/>
                <w:sz w:val="21"/>
                <w:szCs w:val="21"/>
              </w:rPr>
              <w:t>Q 5.3/6.2/7.1.3/7.1.4/7.1.5/8.2/</w:t>
            </w:r>
            <w:r>
              <w:rPr>
                <w:rFonts w:hint="eastAsia"/>
                <w:sz w:val="21"/>
                <w:szCs w:val="21"/>
                <w:lang w:val="en-US" w:eastAsia="zh-CN"/>
              </w:rPr>
              <w:t>8.4</w:t>
            </w:r>
            <w:r>
              <w:rPr>
                <w:rFonts w:hint="eastAsia"/>
                <w:sz w:val="21"/>
                <w:szCs w:val="21"/>
              </w:rPr>
              <w:t>8.5.3/8.5.5/9.1.2</w:t>
            </w:r>
          </w:p>
          <w:p>
            <w:pPr>
              <w:spacing w:line="240" w:lineRule="exact"/>
              <w:rPr>
                <w:rFonts w:hint="eastAsia"/>
                <w:sz w:val="21"/>
                <w:szCs w:val="21"/>
              </w:rPr>
            </w:pPr>
            <w:r>
              <w:rPr>
                <w:rFonts w:hint="eastAsia"/>
                <w:sz w:val="21"/>
                <w:szCs w:val="21"/>
              </w:rPr>
              <w:t>E5.3/6.1.2/6.2/8.1/8.2</w:t>
            </w:r>
          </w:p>
          <w:p>
            <w:pPr>
              <w:spacing w:line="240" w:lineRule="exact"/>
              <w:rPr>
                <w:rFonts w:hint="eastAsia"/>
                <w:sz w:val="21"/>
                <w:szCs w:val="21"/>
              </w:rPr>
            </w:pPr>
            <w:r>
              <w:rPr>
                <w:rFonts w:hint="eastAsia"/>
                <w:sz w:val="21"/>
                <w:szCs w:val="21"/>
                <w:lang w:val="en-US" w:eastAsia="zh-CN"/>
              </w:rPr>
              <w:t>S</w:t>
            </w:r>
            <w:r>
              <w:rPr>
                <w:rFonts w:hint="eastAsia"/>
                <w:sz w:val="21"/>
                <w:szCs w:val="21"/>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1963" w:type="dxa"/>
          </w:tcPr>
          <w:p>
            <w:pPr>
              <w:jc w:val="center"/>
              <w:rPr>
                <w:rFonts w:ascii="宋体" w:hAnsi="宋体"/>
                <w:b/>
                <w:color w:val="000000" w:themeColor="text1"/>
                <w:sz w:val="20"/>
                <w:szCs w:val="20"/>
              </w:rPr>
            </w:pPr>
            <w:r>
              <w:rPr>
                <w:rFonts w:hint="eastAsia"/>
                <w:sz w:val="21"/>
                <w:szCs w:val="21"/>
                <w:lang w:val="en-US" w:eastAsia="zh-CN"/>
              </w:rPr>
              <w:t>检测</w:t>
            </w:r>
            <w:r>
              <w:rPr>
                <w:rFonts w:hint="eastAsia"/>
                <w:sz w:val="21"/>
                <w:szCs w:val="21"/>
              </w:rPr>
              <w:t>部</w:t>
            </w:r>
          </w:p>
        </w:tc>
        <w:tc>
          <w:tcPr>
            <w:tcW w:w="7960" w:type="dxa"/>
          </w:tcPr>
          <w:p>
            <w:pPr>
              <w:spacing w:line="240" w:lineRule="exact"/>
              <w:rPr>
                <w:rFonts w:hint="eastAsia"/>
                <w:sz w:val="21"/>
                <w:szCs w:val="21"/>
              </w:rPr>
            </w:pPr>
            <w:r>
              <w:rPr>
                <w:rFonts w:hint="eastAsia"/>
                <w:sz w:val="21"/>
                <w:szCs w:val="21"/>
              </w:rPr>
              <w:t>Q 5.3/6.2/7.1.3/7.1.4/7.1.5/8.1/</w:t>
            </w:r>
            <w:r>
              <w:rPr>
                <w:rFonts w:hint="eastAsia"/>
                <w:sz w:val="21"/>
                <w:szCs w:val="21"/>
                <w:lang w:val="en-US" w:eastAsia="zh-CN"/>
              </w:rPr>
              <w:t>8.3/</w:t>
            </w:r>
            <w:r>
              <w:rPr>
                <w:rFonts w:hint="eastAsia"/>
                <w:sz w:val="21"/>
                <w:szCs w:val="21"/>
              </w:rPr>
              <w:t>8.5.1/8.5.2/8.5.4/8.5.6/8.6/8.7</w:t>
            </w:r>
          </w:p>
          <w:p>
            <w:pPr>
              <w:spacing w:line="240" w:lineRule="exact"/>
              <w:rPr>
                <w:rFonts w:hint="eastAsia"/>
                <w:sz w:val="21"/>
                <w:szCs w:val="21"/>
              </w:rPr>
            </w:pPr>
            <w:r>
              <w:rPr>
                <w:rFonts w:hint="eastAsia"/>
                <w:sz w:val="21"/>
                <w:szCs w:val="21"/>
              </w:rPr>
              <w:t>E5.3/6.1.2/6.2/8.1/8.2</w:t>
            </w:r>
          </w:p>
          <w:p>
            <w:pPr>
              <w:spacing w:line="240" w:lineRule="exact"/>
              <w:rPr>
                <w:rFonts w:ascii="宋体" w:hAnsi="宋体"/>
                <w:b/>
                <w:color w:val="000000" w:themeColor="text1"/>
                <w:spacing w:val="-20"/>
                <w:sz w:val="20"/>
                <w:szCs w:val="20"/>
                <w:u w:val="single"/>
              </w:rPr>
            </w:pPr>
            <w:r>
              <w:rPr>
                <w:rFonts w:hint="eastAsia"/>
                <w:sz w:val="21"/>
                <w:szCs w:val="21"/>
                <w:lang w:val="en-US" w:eastAsia="zh-CN"/>
              </w:rPr>
              <w:t>S</w:t>
            </w:r>
            <w:r>
              <w:rPr>
                <w:rFonts w:hint="eastAsia"/>
                <w:sz w:val="21"/>
                <w:szCs w:val="21"/>
              </w:rPr>
              <w:t>5.3/6.1.2/6.2/8.1/8.2</w:t>
            </w:r>
          </w:p>
        </w:tc>
      </w:tr>
    </w:tbl>
    <w:p>
      <w:pPr>
        <w:spacing w:line="360" w:lineRule="auto"/>
        <w:ind w:left="-158" w:leftChars="-337" w:hanging="550" w:hangingChars="271"/>
        <w:rPr>
          <w:rFonts w:ascii="宋体" w:hAnsi="宋体"/>
          <w:b/>
          <w:color w:val="000000" w:themeColor="text1"/>
          <w:spacing w:val="-4"/>
          <w:szCs w:val="21"/>
        </w:rPr>
      </w:pPr>
      <w:r>
        <w:rPr>
          <w:rFonts w:ascii="宋体" w:hAnsi="宋体"/>
          <w:b/>
          <w:color w:val="000000" w:themeColor="text1"/>
          <w:spacing w:val="-4"/>
          <w:szCs w:val="21"/>
        </w:rPr>
        <w:t xml:space="preserve">3. </w:t>
      </w:r>
      <w:r>
        <w:rPr>
          <w:rFonts w:hint="eastAsia" w:ascii="宋体" w:hAnsi="宋体"/>
          <w:b/>
          <w:color w:val="000000" w:themeColor="text1"/>
          <w:spacing w:val="-4"/>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河北冀电屋顶光伏电站</w:t>
            </w:r>
          </w:p>
        </w:tc>
        <w:tc>
          <w:tcPr>
            <w:tcW w:w="3249" w:type="dxa"/>
          </w:tcPr>
          <w:p>
            <w:pPr>
              <w:jc w:val="center"/>
              <w:rPr>
                <w:rFonts w:hint="default" w:ascii="Times New Roman" w:hAnsi="Times New Roman" w:eastAsia="宋体" w:cs="Times New Roman"/>
                <w:b w:val="0"/>
                <w:bCs w:val="0"/>
                <w:color w:val="auto"/>
                <w:spacing w:val="-20"/>
                <w:sz w:val="21"/>
                <w:szCs w:val="21"/>
                <w:u w:val="none"/>
                <w:lang w:val="en-US" w:eastAsia="zh-CN"/>
              </w:rPr>
            </w:pPr>
            <w:r>
              <w:rPr>
                <w:rFonts w:hint="default" w:ascii="Times New Roman" w:hAnsi="Times New Roman" w:cs="Times New Roman"/>
                <w:b w:val="0"/>
                <w:bCs w:val="0"/>
                <w:color w:val="auto"/>
                <w:spacing w:val="-20"/>
                <w:sz w:val="21"/>
                <w:szCs w:val="21"/>
                <w:u w:val="none"/>
                <w:lang w:val="en-US" w:eastAsia="zh-CN"/>
              </w:rPr>
              <w:t>Q8.5.1E8.1S8.1</w:t>
            </w:r>
          </w:p>
        </w:tc>
        <w:tc>
          <w:tcPr>
            <w:tcW w:w="3555" w:type="dxa"/>
          </w:tcPr>
          <w:p>
            <w:pPr>
              <w:jc w:val="center"/>
              <w:rPr>
                <w:rFonts w:hint="default" w:ascii="Times New Roman" w:hAnsi="Times New Roman" w:eastAsia="宋体" w:cs="Times New Roman"/>
                <w:b w:val="0"/>
                <w:bCs w:val="0"/>
                <w:color w:val="auto"/>
                <w:spacing w:val="-20"/>
                <w:sz w:val="21"/>
                <w:szCs w:val="21"/>
                <w:u w:val="none"/>
                <w:lang w:val="en-US" w:eastAsia="zh-CN"/>
              </w:rPr>
            </w:pPr>
            <w:r>
              <w:rPr>
                <w:rFonts w:hint="default" w:ascii="Times New Roman" w:hAnsi="Times New Roman" w:cs="Times New Roman"/>
                <w:b w:val="0"/>
                <w:bCs w:val="0"/>
                <w:color w:val="auto"/>
                <w:sz w:val="21"/>
                <w:szCs w:val="21"/>
                <w:u w:val="none"/>
                <w:lang w:val="en-US" w:eastAsia="zh-CN"/>
              </w:rPr>
              <w:t>石家庄天桂街65号北楼楼顶</w:t>
            </w:r>
          </w:p>
        </w:tc>
      </w:tr>
    </w:tbl>
    <w:p>
      <w:pPr>
        <w:spacing w:line="360" w:lineRule="auto"/>
        <w:ind w:left="-158" w:leftChars="-337" w:hanging="550" w:hangingChars="271"/>
        <w:rPr>
          <w:rFonts w:ascii="宋体" w:hAnsi="宋体"/>
          <w:b/>
          <w:color w:val="000000" w:themeColor="text1"/>
          <w:spacing w:val="-4"/>
          <w:szCs w:val="21"/>
        </w:rPr>
      </w:pPr>
      <w:r>
        <w:rPr>
          <w:rFonts w:hint="eastAsia" w:ascii="宋体" w:hAnsi="宋体"/>
          <w:b/>
          <w:color w:val="000000" w:themeColor="text1"/>
          <w:spacing w:val="-4"/>
          <w:szCs w:val="21"/>
        </w:rPr>
        <w:t>4. 已审核具体的产品/服务/型号/类型/系列和过程（设计/生产┄┄）</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84"/>
        <w:gridCol w:w="841"/>
        <w:gridCol w:w="6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484"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841" w:type="dxa"/>
          </w:tcPr>
          <w:p>
            <w:pPr>
              <w:rPr>
                <w:b/>
                <w:color w:val="000000" w:themeColor="text1"/>
                <w:sz w:val="20"/>
                <w:szCs w:val="20"/>
              </w:rPr>
            </w:pPr>
            <w:r>
              <w:rPr>
                <w:rFonts w:hint="eastAsia"/>
                <w:b/>
                <w:color w:val="000000" w:themeColor="text1"/>
                <w:sz w:val="20"/>
                <w:szCs w:val="20"/>
              </w:rPr>
              <w:t>规格</w:t>
            </w:r>
          </w:p>
        </w:tc>
        <w:tc>
          <w:tcPr>
            <w:tcW w:w="6240"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0" w:type="dxa"/>
          </w:tcPr>
          <w:p>
            <w:pPr>
              <w:rPr>
                <w:rFonts w:hint="default" w:eastAsia="宋体"/>
                <w:b/>
                <w:color w:val="000000" w:themeColor="text1"/>
                <w:sz w:val="20"/>
                <w:szCs w:val="20"/>
                <w:lang w:val="en-US" w:eastAsia="zh-CN"/>
              </w:rPr>
            </w:pPr>
            <w:r>
              <w:rPr>
                <w:sz w:val="20"/>
              </w:rPr>
              <w:t>光伏发电站的检测及服务</w:t>
            </w:r>
          </w:p>
        </w:tc>
        <w:tc>
          <w:tcPr>
            <w:tcW w:w="1484" w:type="dxa"/>
          </w:tcPr>
          <w:p>
            <w:pPr>
              <w:rPr>
                <w:rFonts w:hint="default" w:eastAsia="宋体"/>
                <w:b/>
                <w:color w:val="000000" w:themeColor="text1"/>
                <w:sz w:val="20"/>
                <w:szCs w:val="20"/>
                <w:lang w:val="en-US" w:eastAsia="zh-CN"/>
              </w:rPr>
            </w:pPr>
            <w:r>
              <w:rPr>
                <w:rFonts w:hint="eastAsia"/>
                <w:sz w:val="20"/>
                <w:lang w:val="en-US" w:eastAsia="zh-CN"/>
              </w:rPr>
              <w:t>检测服务</w:t>
            </w:r>
          </w:p>
        </w:tc>
        <w:tc>
          <w:tcPr>
            <w:tcW w:w="841"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6240" w:type="dxa"/>
          </w:tcPr>
          <w:p>
            <w:pPr>
              <w:rPr>
                <w:b/>
                <w:color w:val="000000" w:themeColor="text1"/>
                <w:sz w:val="20"/>
                <w:szCs w:val="20"/>
              </w:rPr>
            </w:pPr>
            <w:r>
              <w:rPr>
                <w:rFonts w:hint="eastAsia"/>
                <w:sz w:val="20"/>
                <w:lang w:val="en-US" w:eastAsia="zh-CN"/>
              </w:rPr>
              <w:t>光伏发电系统验收测试技术规范CGC/GF044:2015、并网光伏电站性能检测与质量评估技术规范CQC3321-2015</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bookmarkStart w:id="4"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4"/>
      <w:r>
        <w:rPr>
          <w:rFonts w:hint="eastAsia"/>
          <w:b/>
          <w:color w:val="000000" w:themeColor="text1"/>
          <w:spacing w:val="-10"/>
          <w:szCs w:val="21"/>
        </w:rPr>
        <w:t>至</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r>
        <w:rPr>
          <w:rFonts w:hint="eastAsia"/>
          <w:b/>
          <w:color w:val="000000" w:themeColor="text1"/>
          <w:spacing w:val="-10"/>
          <w:szCs w:val="21"/>
          <w:lang w:val="en-US" w:eastAsia="zh-CN"/>
        </w:rPr>
        <w:t>21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2"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设计开发过程</w:t>
            </w:r>
            <w:r>
              <w:rPr>
                <w:rFonts w:hint="eastAsia"/>
              </w:rPr>
              <w:t>节能环保</w:t>
            </w:r>
            <w:r>
              <w:rPr>
                <w:rFonts w:hint="eastAsia"/>
                <w:lang w:val="en-US" w:eastAsia="zh-CN"/>
              </w:rPr>
              <w:t>安全卫生</w:t>
            </w:r>
            <w:r>
              <w:rPr>
                <w:rFonts w:hint="eastAsia"/>
              </w:rPr>
              <w:t>，对环境无重大污染、</w:t>
            </w:r>
            <w:r>
              <w:rPr>
                <w:rFonts w:hint="eastAsia"/>
                <w:lang w:val="en-US" w:eastAsia="zh-CN"/>
              </w:rPr>
              <w:t>对人员无重大伤害，</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管理</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20" w:lineRule="exact"/>
              <w:textAlignment w:val="auto"/>
            </w:pPr>
            <w:r>
              <w:t>1.</w:t>
            </w:r>
            <w:r>
              <w:rPr>
                <w:rFonts w:hint="eastAsia" w:cs="宋体"/>
              </w:rPr>
              <w:t>管理方针：安全为天  质量为先  美化环境  守法诚信  创新发展  顾客满意</w:t>
            </w:r>
          </w:p>
          <w:p>
            <w:pPr>
              <w:keepNext w:val="0"/>
              <w:keepLines w:val="0"/>
              <w:pageBreakBefore w:val="0"/>
              <w:kinsoku/>
              <w:wordWrap/>
              <w:overflowPunct/>
              <w:topLinePunct w:val="0"/>
              <w:autoSpaceDE/>
              <w:autoSpaceDN/>
              <w:bidi w:val="0"/>
              <w:adjustRightInd/>
              <w:snapToGrid/>
              <w:spacing w:line="32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1"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分别从顾客要求、公司内部、外部供方等方面</w:t>
            </w:r>
            <w:r>
              <w:rPr>
                <w:rFonts w:hint="eastAsia"/>
              </w:rPr>
              <w:t>识别了必要的风险和机遇，如：方针和目标变更的需求，产品标准变更</w:t>
            </w:r>
            <w:r>
              <w:rPr>
                <w:rFonts w:hint="eastAsia"/>
                <w:lang w:eastAsia="zh-CN"/>
              </w:rPr>
              <w:t>、</w:t>
            </w:r>
            <w:r>
              <w:rPr>
                <w:rFonts w:hint="eastAsia"/>
                <w:lang w:val="en-US" w:eastAsia="zh-CN"/>
              </w:rPr>
              <w:t>法律法规变更、外部环境变化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业务</w:t>
            </w:r>
            <w:r>
              <w:rPr>
                <w:rFonts w:hint="eastAsia"/>
                <w:lang w:eastAsia="zh-CN"/>
              </w:rPr>
              <w:t>部紧密与客户沟通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autoSpaceDE/>
              <w:autoSpaceDN/>
              <w:bidi w:val="0"/>
              <w:adjustRightInd/>
              <w:snapToGrid/>
              <w:spacing w:line="32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tabs>
                <w:tab w:val="left" w:pos="540"/>
              </w:tabs>
              <w:kinsoku/>
              <w:wordWrap/>
              <w:overflowPunct/>
              <w:topLinePunct w:val="0"/>
              <w:autoSpaceDE/>
              <w:autoSpaceDN/>
              <w:bidi w:val="0"/>
              <w:adjustRightInd/>
              <w:snapToGrid/>
              <w:spacing w:line="32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cs="Times New Roman"/>
                <w:color w:val="000000"/>
                <w:sz w:val="20"/>
                <w:szCs w:val="20"/>
                <w:u w:val="single"/>
                <w:lang w:val="en-US" w:eastAsia="zh-CN"/>
              </w:rPr>
              <w:t>见证取样、检测、数据整理</w:t>
            </w:r>
            <w:r>
              <w:rPr>
                <w:rFonts w:hint="eastAsia" w:ascii="宋体" w:hAnsi="宋体"/>
                <w:b/>
                <w:color w:val="000000" w:themeColor="text1"/>
                <w:sz w:val="20"/>
                <w:szCs w:val="20"/>
                <w:u w:val="single"/>
              </w:rPr>
              <w:t xml:space="preserve">                             ，</w:t>
            </w:r>
          </w:p>
          <w:p>
            <w:pPr>
              <w:keepNext w:val="0"/>
              <w:keepLines w:val="0"/>
              <w:pageBreakBefore w:val="0"/>
              <w:tabs>
                <w:tab w:val="left" w:pos="540"/>
              </w:tabs>
              <w:kinsoku/>
              <w:wordWrap/>
              <w:overflowPunct/>
              <w:topLinePunct w:val="0"/>
              <w:autoSpaceDE/>
              <w:autoSpaceDN/>
              <w:bidi w:val="0"/>
              <w:adjustRightInd/>
              <w:snapToGrid/>
              <w:spacing w:line="32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autoSpaceDE/>
              <w:autoSpaceDN/>
              <w:bidi w:val="0"/>
              <w:adjustRightInd/>
              <w:snapToGrid/>
              <w:spacing w:line="320" w:lineRule="exact"/>
              <w:ind w:left="201" w:hanging="201" w:hangingChars="100"/>
              <w:textAlignment w:val="auto"/>
              <w:rPr>
                <w:rFonts w:ascii="宋体" w:hAnsi="宋体"/>
                <w:b/>
                <w:color w:val="000000" w:themeColor="text1"/>
                <w:szCs w:val="21"/>
              </w:rPr>
            </w:pPr>
            <w:r>
              <w:rPr>
                <w:b/>
                <w:color w:val="000000" w:themeColor="text1"/>
                <w:sz w:val="20"/>
                <w:szCs w:val="20"/>
              </w:rPr>
              <w:pict>
                <v:shape id="_x0000_s1030" o:spid="_x0000_s1030" o:spt="32" type="#_x0000_t32" style="position:absolute;left:0pt;margin-left:157.9pt;margin-top:12.75pt;height:0pt;width:261.75pt;z-index:25166438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9" o:spid="_x0000_s1029" o:spt="32" type="#_x0000_t32" style="position:absolute;left:0pt;margin-left:55.15pt;margin-top:12.75pt;height:0pt;width:42pt;z-index:25166336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宋体" w:hAnsi="宋体"/>
                <w:b/>
                <w:color w:val="000000" w:themeColor="text1"/>
                <w:sz w:val="20"/>
                <w:szCs w:val="20"/>
                <w:lang w:val="en-US" w:eastAsia="zh-CN"/>
              </w:rPr>
              <w:t>公司</w:t>
            </w:r>
            <w:r>
              <w:rPr>
                <w:rFonts w:hint="eastAsia" w:ascii="宋体" w:hAnsi="宋体"/>
                <w:b w:val="0"/>
                <w:bCs/>
                <w:color w:val="000000" w:themeColor="text1"/>
                <w:sz w:val="20"/>
                <w:szCs w:val="20"/>
                <w:u w:val="single"/>
              </w:rPr>
              <w:t xml:space="preserve">检测服务按国家标准或客户要求作业，不涉及设计研发，故公司目前不适用 “8.3”条款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2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办公室/检测部/业务部根据部门所涉及的环境因素进行识别，并评价出重要环境因素，提供环境因素评价记录，目前环境因素识别基本完整，评价的重要环境因素为</w:t>
            </w:r>
            <w:r>
              <w:rPr>
                <w:rFonts w:hint="eastAsia"/>
              </w:rPr>
              <w:t>固体废弃物排放、潜在火灾的发生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办公室/检测部/业务部根据部门所涉及的危险源进行识别，并评价出重大危险源，提供重大危险源评价记录，目前危险源识别基本完整，评价的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u w:val="none" w:color="auto"/>
              </w:rPr>
              <w:t>触电、火灾</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2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firstLineChars="0"/>
              <w:textAlignment w:val="auto"/>
              <w:rPr>
                <w:b/>
                <w:color w:val="000000" w:themeColor="text1"/>
                <w:sz w:val="2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8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20" w:lineRule="exact"/>
              <w:textAlignment w:val="auto"/>
              <w:rPr>
                <w:rFonts w:hint="eastAsia" w:cs="宋体"/>
                <w:lang w:eastAsia="zh-CN"/>
              </w:rPr>
            </w:pPr>
            <w:r>
              <w:rPr>
                <w:rFonts w:hint="eastAsia" w:cs="宋体"/>
              </w:rPr>
              <w:t>公司</w:t>
            </w:r>
            <w:r>
              <w:rPr>
                <w:rFonts w:hint="eastAsia" w:cs="宋体"/>
                <w:lang w:val="en-US" w:eastAsia="zh-CN"/>
              </w:rPr>
              <w:t>目标：</w:t>
            </w:r>
            <w:r>
              <w:rPr>
                <w:rFonts w:hint="eastAsia" w:cs="宋体"/>
              </w:rPr>
              <w:t>1、检测产品合格率≥98%</w:t>
            </w:r>
            <w:r>
              <w:rPr>
                <w:rFonts w:hint="eastAsia" w:cs="宋体"/>
                <w:lang w:eastAsia="zh-CN"/>
              </w:rPr>
              <w:t>；</w:t>
            </w:r>
            <w:r>
              <w:rPr>
                <w:rFonts w:hint="eastAsia" w:cs="宋体"/>
              </w:rPr>
              <w:t>2、顾客满意度90%以上</w:t>
            </w:r>
            <w:r>
              <w:rPr>
                <w:rFonts w:hint="eastAsia" w:cs="宋体"/>
                <w:lang w:eastAsia="zh-CN"/>
              </w:rPr>
              <w:t>；</w:t>
            </w:r>
            <w:r>
              <w:rPr>
                <w:rFonts w:hint="eastAsia" w:cs="宋体"/>
              </w:rPr>
              <w:t>3、火灾事故为0</w:t>
            </w:r>
            <w:r>
              <w:rPr>
                <w:rFonts w:hint="eastAsia" w:cs="宋体"/>
                <w:lang w:eastAsia="zh-CN"/>
              </w:rPr>
              <w:t>；</w:t>
            </w:r>
            <w:r>
              <w:rPr>
                <w:rFonts w:hint="eastAsia" w:cs="宋体"/>
              </w:rPr>
              <w:t>4、产生的固体废物100%分类、收集</w:t>
            </w:r>
            <w:r>
              <w:rPr>
                <w:rFonts w:hint="eastAsia" w:cs="宋体"/>
                <w:lang w:eastAsia="zh-CN"/>
              </w:rPr>
              <w:t>；</w:t>
            </w:r>
            <w:r>
              <w:rPr>
                <w:rFonts w:hint="eastAsia" w:cs="宋体"/>
              </w:rPr>
              <w:t>5、职业病发生为0</w:t>
            </w:r>
            <w:r>
              <w:rPr>
                <w:rFonts w:hint="eastAsia" w:cs="宋体"/>
                <w:lang w:eastAsia="zh-CN"/>
              </w:rPr>
              <w:t>；</w:t>
            </w:r>
            <w:r>
              <w:rPr>
                <w:rFonts w:hint="eastAsia" w:cs="宋体"/>
              </w:rPr>
              <w:t>6、触电事故为0</w:t>
            </w:r>
            <w:r>
              <w:rPr>
                <w:rFonts w:hint="eastAsia" w:cs="宋体"/>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rPr>
            </w:pPr>
            <w:r>
              <w:rPr>
                <w:rFonts w:hint="eastAsia" w:ascii="宋体" w:cs="宋体"/>
                <w:color w:val="auto"/>
                <w:sz w:val="21"/>
                <w:szCs w:val="21"/>
              </w:rPr>
              <w:t>提供了文件化可分解的目标</w:t>
            </w:r>
            <w:r>
              <w:rPr>
                <w:rFonts w:hint="eastAsia" w:ascii="宋体" w:cs="宋体"/>
                <w:color w:val="auto"/>
                <w:sz w:val="21"/>
                <w:szCs w:val="21"/>
                <w:lang w:eastAsia="zh-CN"/>
              </w:rPr>
              <w:t>、指标</w:t>
            </w:r>
            <w:r>
              <w:rPr>
                <w:rFonts w:hint="eastAsia" w:ascii="宋体" w:cs="宋体"/>
                <w:color w:val="auto"/>
                <w:sz w:val="21"/>
                <w:szCs w:val="21"/>
              </w:rPr>
              <w:t>，经查问分解到各部门，经查阅建立的</w:t>
            </w:r>
            <w:r>
              <w:rPr>
                <w:rFonts w:hint="eastAsia" w:ascii="宋体" w:cs="宋体"/>
                <w:color w:val="auto"/>
                <w:sz w:val="21"/>
                <w:szCs w:val="21"/>
                <w:lang w:eastAsia="zh-CN"/>
              </w:rPr>
              <w:t>管理</w:t>
            </w:r>
            <w:r>
              <w:rPr>
                <w:rFonts w:hint="eastAsia" w:ascii="宋体" w:cs="宋体"/>
                <w:color w:val="auto"/>
                <w:sz w:val="21"/>
                <w:szCs w:val="21"/>
              </w:rPr>
              <w:t>目标符合标准要求，在方针的框架下展开，每</w:t>
            </w:r>
            <w:r>
              <w:rPr>
                <w:rFonts w:hint="eastAsia" w:ascii="宋体" w:cs="宋体"/>
                <w:color w:val="auto"/>
                <w:sz w:val="21"/>
                <w:szCs w:val="21"/>
                <w:lang w:val="en-US" w:eastAsia="zh-CN"/>
              </w:rPr>
              <w:t>季度</w:t>
            </w:r>
            <w:r>
              <w:rPr>
                <w:rFonts w:hint="eastAsia" w:ascii="宋体" w:cs="宋体"/>
                <w:color w:val="auto"/>
                <w:sz w:val="21"/>
                <w:szCs w:val="21"/>
              </w:rPr>
              <w:t>考核一次，提供</w:t>
            </w:r>
            <w:r>
              <w:rPr>
                <w:rFonts w:hint="eastAsia"/>
                <w:lang w:val="en-US" w:eastAsia="zh-CN"/>
              </w:rPr>
              <w:t>2019年2季度目标考核记录</w:t>
            </w:r>
            <w:r>
              <w:rPr>
                <w:rFonts w:hint="eastAsia" w:ascii="宋体" w:cs="宋体"/>
                <w:color w:val="auto"/>
                <w:sz w:val="21"/>
                <w:szCs w:val="21"/>
              </w:rPr>
              <w:t>，</w:t>
            </w:r>
            <w:r>
              <w:rPr>
                <w:rFonts w:hint="eastAsia" w:ascii="宋体" w:cs="宋体"/>
                <w:color w:val="auto"/>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23</w:t>
            </w:r>
            <w:r>
              <w:rPr>
                <w:rFonts w:hint="eastAsia"/>
                <w:sz w:val="21"/>
                <w:szCs w:val="21"/>
              </w:rPr>
              <w:t>人，其中管理人员</w:t>
            </w:r>
            <w:r>
              <w:rPr>
                <w:rFonts w:hint="eastAsia"/>
                <w:sz w:val="21"/>
                <w:szCs w:val="21"/>
                <w:lang w:val="en-US" w:eastAsia="zh-CN"/>
              </w:rPr>
              <w:t>5</w:t>
            </w:r>
            <w:r>
              <w:rPr>
                <w:rFonts w:hint="eastAsia"/>
                <w:sz w:val="21"/>
                <w:szCs w:val="21"/>
              </w:rPr>
              <w:t>人，满足</w:t>
            </w:r>
            <w:r>
              <w:rPr>
                <w:rFonts w:hint="eastAsia"/>
                <w:sz w:val="21"/>
                <w:szCs w:val="21"/>
                <w:lang w:val="en-US" w:eastAsia="zh-CN"/>
              </w:rPr>
              <w:t>检测服务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val="en-US" w:eastAsia="zh-CN"/>
              </w:rPr>
            </w:pPr>
            <w:r>
              <w:rPr>
                <w:rFonts w:hint="eastAsia"/>
              </w:rPr>
              <w:t>配备了</w:t>
            </w:r>
            <w:r>
              <w:rPr>
                <w:rFonts w:hint="eastAsia" w:ascii="宋体" w:hAnsi="宋体"/>
                <w:color w:val="000000"/>
                <w:spacing w:val="-10"/>
                <w:sz w:val="20"/>
                <w:szCs w:val="20"/>
              </w:rPr>
              <w:t>直流高压发生器</w:t>
            </w:r>
            <w:r>
              <w:rPr>
                <w:rFonts w:hint="eastAsia" w:ascii="宋体" w:hAnsi="宋体"/>
                <w:color w:val="000000"/>
                <w:spacing w:val="-10"/>
                <w:sz w:val="20"/>
                <w:szCs w:val="20"/>
                <w:lang w:eastAsia="zh-CN"/>
              </w:rPr>
              <w:t>、</w:t>
            </w:r>
            <w:r>
              <w:rPr>
                <w:rFonts w:hint="eastAsia" w:ascii="宋体" w:hAnsi="宋体"/>
                <w:color w:val="000000"/>
                <w:spacing w:val="-10"/>
                <w:sz w:val="20"/>
                <w:szCs w:val="20"/>
              </w:rPr>
              <w:t>氧化锌避雷器阻性电流测试仪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大地网导通测试仪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接地电阻测试仪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互感器特性综合测试仪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变压器直流电阻测试仪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变压器变比测试仪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绝缘油耐压试验装置</w:t>
            </w:r>
            <w:r>
              <w:rPr>
                <w:rFonts w:hint="eastAsia" w:ascii="宋体" w:hAnsi="宋体"/>
                <w:color w:val="000000"/>
                <w:spacing w:val="-10"/>
                <w:sz w:val="20"/>
                <w:szCs w:val="20"/>
                <w:lang w:eastAsia="zh-CN"/>
              </w:rPr>
              <w:t>、</w:t>
            </w:r>
            <w:r>
              <w:rPr>
                <w:rFonts w:hint="eastAsia" w:ascii="宋体" w:hAnsi="宋体"/>
                <w:color w:val="000000"/>
                <w:spacing w:val="-10"/>
                <w:sz w:val="20"/>
                <w:szCs w:val="20"/>
              </w:rPr>
              <w:t>微机继电保护测试仪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异频线路参数测试仪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全自动异频介质损耗测试仪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智能开关特性测试仪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隔离开关触指压力测试仪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冲击电压发生器</w:t>
            </w:r>
            <w:r>
              <w:rPr>
                <w:rFonts w:hint="eastAsia" w:ascii="宋体" w:hAnsi="宋体"/>
                <w:color w:val="000000"/>
                <w:spacing w:val="-10"/>
                <w:sz w:val="20"/>
                <w:szCs w:val="20"/>
                <w:lang w:eastAsia="zh-CN"/>
              </w:rPr>
              <w:t>、</w:t>
            </w:r>
            <w:r>
              <w:rPr>
                <w:rFonts w:hint="eastAsia" w:ascii="宋体" w:hAnsi="宋体"/>
                <w:color w:val="000000"/>
                <w:spacing w:val="-10"/>
                <w:sz w:val="20"/>
                <w:szCs w:val="20"/>
              </w:rPr>
              <w:t>温升试验仪</w:t>
            </w:r>
            <w:r>
              <w:rPr>
                <w:rFonts w:hint="eastAsia" w:ascii="宋体" w:hAnsi="宋体"/>
                <w:color w:val="000000"/>
                <w:spacing w:val="-10"/>
                <w:sz w:val="20"/>
                <w:szCs w:val="20"/>
                <w:lang w:eastAsia="zh-CN"/>
              </w:rPr>
              <w:t>、</w:t>
            </w:r>
            <w:r>
              <w:rPr>
                <w:rFonts w:hint="eastAsia" w:ascii="宋体" w:hAnsi="宋体"/>
                <w:color w:val="000000"/>
                <w:spacing w:val="-10"/>
                <w:sz w:val="20"/>
                <w:szCs w:val="20"/>
              </w:rPr>
              <w:t>变频串联谐振试验装置</w:t>
            </w:r>
            <w:r>
              <w:rPr>
                <w:rFonts w:hint="eastAsia" w:ascii="宋体" w:hAnsi="宋体"/>
                <w:color w:val="000000"/>
                <w:spacing w:val="-10"/>
                <w:sz w:val="20"/>
                <w:szCs w:val="20"/>
                <w:lang w:eastAsia="zh-CN"/>
              </w:rPr>
              <w:t>、</w:t>
            </w:r>
            <w:r>
              <w:rPr>
                <w:rFonts w:hint="eastAsia" w:ascii="宋体" w:hAnsi="宋体"/>
                <w:color w:val="000000"/>
                <w:spacing w:val="-10"/>
                <w:sz w:val="20"/>
                <w:szCs w:val="20"/>
              </w:rPr>
              <w:t>试验变压器</w:t>
            </w:r>
            <w:r>
              <w:rPr>
                <w:rFonts w:hint="eastAsia"/>
              </w:rPr>
              <w:t>等设备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val="en-US" w:eastAsia="zh-CN"/>
              </w:rPr>
            </w:pPr>
            <w:r>
              <w:rPr>
                <w:rFonts w:hint="eastAsia" w:cs="宋体"/>
              </w:rPr>
              <w:t>办公地点位于</w:t>
            </w:r>
            <w:bookmarkStart w:id="5" w:name="生产地址"/>
            <w:r>
              <w:rPr>
                <w:rFonts w:asciiTheme="minorEastAsia" w:hAnsiTheme="minorEastAsia" w:eastAsiaTheme="minorEastAsia"/>
                <w:sz w:val="20"/>
              </w:rPr>
              <w:t>石家庄高新</w:t>
            </w:r>
            <w:r>
              <w:rPr>
                <w:rFonts w:hint="default" w:ascii="Times New Roman" w:hAnsi="Times New Roman" w:cs="Times New Roman" w:eastAsiaTheme="minorEastAsia"/>
                <w:sz w:val="20"/>
              </w:rPr>
              <w:t>区天桂街65号</w:t>
            </w:r>
            <w:bookmarkEnd w:id="5"/>
            <w:r>
              <w:rPr>
                <w:rFonts w:hint="default" w:ascii="Times New Roman" w:hAnsi="Times New Roman" w:cs="Times New Roman" w:eastAsiaTheme="minorEastAsia"/>
                <w:sz w:val="20"/>
                <w:lang w:val="en-US" w:eastAsia="zh-CN"/>
              </w:rPr>
              <w:t>北</w:t>
            </w:r>
            <w:r>
              <w:rPr>
                <w:rFonts w:hint="eastAsia" w:asciiTheme="minorEastAsia" w:hAnsiTheme="minorEastAsia" w:eastAsiaTheme="minorEastAsia"/>
                <w:sz w:val="20"/>
                <w:lang w:val="en-US" w:eastAsia="zh-CN"/>
              </w:rPr>
              <w:t>楼</w:t>
            </w:r>
            <w:r>
              <w:rPr>
                <w:rFonts w:hint="eastAsia" w:cs="宋体"/>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1600平米</w:t>
            </w:r>
            <w:r>
              <w:rPr>
                <w:rFonts w:hint="eastAsia"/>
                <w:sz w:val="21"/>
                <w:szCs w:val="21"/>
                <w:lang w:val="en-US" w:eastAsia="zh-CN"/>
              </w:rPr>
              <w:t>，</w:t>
            </w:r>
            <w:r>
              <w:rPr>
                <w:rFonts w:hint="eastAsia"/>
                <w:color w:val="auto"/>
                <w:sz w:val="21"/>
                <w:szCs w:val="21"/>
                <w:lang w:val="en-US" w:eastAsia="zh-CN"/>
              </w:rPr>
              <w:t>检测室</w:t>
            </w:r>
            <w:r>
              <w:rPr>
                <w:rFonts w:hint="eastAsia"/>
                <w:color w:val="auto"/>
                <w:sz w:val="21"/>
                <w:szCs w:val="21"/>
                <w:lang w:eastAsia="zh-CN"/>
              </w:rPr>
              <w:t>面积</w:t>
            </w:r>
            <w:r>
              <w:rPr>
                <w:rFonts w:hint="eastAsia"/>
                <w:color w:val="auto"/>
                <w:sz w:val="21"/>
                <w:szCs w:val="21"/>
                <w:lang w:val="en-US" w:eastAsia="zh-CN"/>
              </w:rPr>
              <w:t>400平米</w:t>
            </w:r>
            <w:r>
              <w:rPr>
                <w:rFonts w:hint="eastAsia" w:cs="宋体"/>
              </w:rPr>
              <w:t>；</w:t>
            </w:r>
            <w:r>
              <w:rPr>
                <w:rFonts w:hint="eastAsia"/>
                <w:color w:val="auto"/>
                <w:sz w:val="21"/>
                <w:szCs w:val="21"/>
                <w:lang w:eastAsia="zh-CN"/>
              </w:rPr>
              <w:t>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000000" w:themeColor="text1"/>
                <w:sz w:val="20"/>
                <w:szCs w:val="20"/>
              </w:rPr>
            </w:pPr>
            <w:r>
              <w:rPr>
                <w:rFonts w:hint="eastAsia" w:ascii="宋体" w:hAnsi="宋体"/>
                <w:color w:val="000000"/>
                <w:spacing w:val="-10"/>
                <w:sz w:val="20"/>
                <w:szCs w:val="20"/>
              </w:rPr>
              <w:t>氧化锌避雷器阻性电流测试仪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大地网导通测试仪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接地电阻测试仪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互感器特性综合测试仪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变压器直流电阻测试仪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变压器变比测试仪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绝缘油耐压试验装置</w:t>
            </w:r>
            <w:r>
              <w:rPr>
                <w:rFonts w:hint="eastAsia" w:ascii="宋体" w:hAnsi="宋体"/>
                <w:color w:val="000000"/>
                <w:spacing w:val="-10"/>
                <w:sz w:val="20"/>
                <w:szCs w:val="20"/>
                <w:lang w:eastAsia="zh-CN"/>
              </w:rPr>
              <w:t>、</w:t>
            </w:r>
            <w:r>
              <w:rPr>
                <w:rFonts w:hint="eastAsia" w:ascii="宋体" w:hAnsi="宋体"/>
                <w:color w:val="000000"/>
                <w:spacing w:val="-10"/>
                <w:sz w:val="20"/>
                <w:szCs w:val="20"/>
              </w:rPr>
              <w:t>微机继电保护测试仪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异频线路参数测试仪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全自动异频介质损耗测试仪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智能开关特性测试仪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隔离开关触指压力测试仪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温升试验仪</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sz w:val="21"/>
                <w:szCs w:val="21"/>
              </w:rPr>
              <w:t>公司对法律法规及其他要求进行了获取，包括</w:t>
            </w:r>
            <w:r>
              <w:rPr>
                <w:rFonts w:hint="eastAsia"/>
                <w:color w:val="auto"/>
                <w:lang w:val="en-US" w:eastAsia="zh-CN"/>
              </w:rPr>
              <w:t>质量法、合同法、</w:t>
            </w:r>
            <w:r>
              <w:rPr>
                <w:rFonts w:hint="eastAsia"/>
              </w:rPr>
              <w:t>环境保护法</w:t>
            </w:r>
            <w:r>
              <w:rPr>
                <w:rFonts w:hint="eastAsia"/>
                <w:lang w:eastAsia="zh-CN"/>
              </w:rPr>
              <w:t>、</w:t>
            </w:r>
            <w:r>
              <w:rPr>
                <w:rFonts w:hint="eastAsia"/>
              </w:rPr>
              <w:t>劳动法、消防法、</w:t>
            </w:r>
            <w:r>
              <w:rPr>
                <w:rFonts w:hint="eastAsia"/>
                <w:color w:val="auto"/>
                <w:sz w:val="21"/>
                <w:szCs w:val="21"/>
                <w:u w:val="none"/>
              </w:rPr>
              <w:t>固体废弃物环境防治法</w:t>
            </w:r>
            <w:r>
              <w:rPr>
                <w:rFonts w:hint="eastAsia"/>
                <w:color w:val="auto"/>
                <w:sz w:val="21"/>
                <w:szCs w:val="21"/>
                <w:u w:val="none"/>
                <w:lang w:eastAsia="zh-CN"/>
              </w:rPr>
              <w:t>、</w:t>
            </w:r>
            <w:r>
              <w:rPr>
                <w:rFonts w:hint="eastAsia"/>
              </w:rPr>
              <w:t>仓库防火安全管理</w:t>
            </w:r>
            <w:r>
              <w:rPr>
                <w:rFonts w:hint="eastAsia"/>
                <w:sz w:val="21"/>
                <w:szCs w:val="21"/>
              </w:rPr>
              <w:t>规则</w:t>
            </w:r>
            <w:r>
              <w:rPr>
                <w:rFonts w:hint="eastAsia"/>
                <w:sz w:val="21"/>
                <w:szCs w:val="21"/>
                <w:lang w:eastAsia="zh-CN"/>
              </w:rPr>
              <w:t>、</w:t>
            </w:r>
            <w:r>
              <w:rPr>
                <w:rFonts w:hint="eastAsia"/>
                <w:sz w:val="21"/>
                <w:szCs w:val="21"/>
              </w:rPr>
              <w:t>劳动保护用品管理规定</w:t>
            </w:r>
            <w:r>
              <w:rPr>
                <w:rFonts w:hint="eastAsia"/>
                <w:sz w:val="21"/>
                <w:szCs w:val="21"/>
                <w:lang w:eastAsia="zh-CN"/>
              </w:rPr>
              <w:t>、</w:t>
            </w:r>
            <w:r>
              <w:rPr>
                <w:rFonts w:hint="eastAsia"/>
                <w:sz w:val="21"/>
                <w:szCs w:val="21"/>
                <w:lang w:val="en-US" w:eastAsia="zh-CN"/>
              </w:rPr>
              <w:t>RB/T214-2017《检验检测机构资质认定能力评价 检验检测机构通用要求》、光伏发电系统验收测试技术规范CGC/GF044:2015、并网光伏电站性能检测与质量评估技术规范CQC3321-2015、GB/T 19000-2016《质量管理体系 基础和术语》、GB/T19</w:t>
            </w:r>
            <w:r>
              <w:rPr>
                <w:rFonts w:hint="eastAsia"/>
                <w:u w:val="none" w:color="auto"/>
                <w:lang w:val="en-US" w:eastAsia="zh-CN"/>
              </w:rPr>
              <w:t>001-2016《质量管理体系 要求》、GB/T24001-2016《环境管理体系 要求及使用指南》、ISO45001：2018《职业健康安全管理体系 要求及使用指南》</w:t>
            </w:r>
            <w:r>
              <w:rPr>
                <w:rFonts w:hint="eastAsia" w:cs="宋体"/>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警示牌、灭火器、绝缘鞋、绝缘手套、安全帽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20" w:lineRule="exact"/>
              <w:textAlignment w:val="auto"/>
            </w:pPr>
            <w:r>
              <w:t>1.</w:t>
            </w:r>
            <w:r>
              <w:rPr>
                <w:rFonts w:hint="eastAsia" w:cs="宋体"/>
              </w:rPr>
              <w:t>管理方针：安全为天  质量为先  美化环境  守法诚信  创新发展  顾客满意</w:t>
            </w:r>
          </w:p>
          <w:p>
            <w:pPr>
              <w:keepNext w:val="0"/>
              <w:keepLines w:val="0"/>
              <w:pageBreakBefore w:val="0"/>
              <w:kinsoku/>
              <w:wordWrap/>
              <w:overflowPunct/>
              <w:topLinePunct w:val="0"/>
              <w:autoSpaceDE/>
              <w:autoSpaceDN/>
              <w:bidi w:val="0"/>
              <w:adjustRightInd/>
              <w:snapToGrid/>
              <w:spacing w:line="32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2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2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楷体_GB2312" w:eastAsia="宋体"/>
                <w:b/>
                <w:color w:val="000000" w:themeColor="text1"/>
                <w:sz w:val="20"/>
                <w:szCs w:val="20"/>
                <w:lang w:eastAsia="zh-CN"/>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楷体_GB2312" w:eastAsia="宋体"/>
                <w:b/>
                <w:color w:val="000000" w:themeColor="text1"/>
                <w:sz w:val="20"/>
                <w:szCs w:val="20"/>
                <w:lang w:eastAsia="zh-CN"/>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Cs w:val="21"/>
              </w:rPr>
            </w:pP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3.  QMS 组织对重要过程实施控制的结果(包括对QMS关键工序(过程)、特殊过程控制;评价组织对过程实施控制情况/)</w:t>
            </w:r>
          </w:p>
          <w:p>
            <w:pPr>
              <w:pStyle w:val="17"/>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textAlignment w:val="auto"/>
              <w:outlineLvl w:val="9"/>
              <w:rPr>
                <w:rFonts w:hint="eastAsia" w:ascii="Times New Roman" w:hAnsi="Times New Roman" w:eastAsia="宋体" w:cs="Times New Roman"/>
                <w:color w:val="auto"/>
                <w:kern w:val="2"/>
                <w:sz w:val="21"/>
                <w:szCs w:val="21"/>
                <w:lang w:val="en-GB" w:eastAsia="zh-CN" w:bidi="ar-SA"/>
              </w:rPr>
            </w:pPr>
            <w:r>
              <w:rPr>
                <w:rFonts w:hint="eastAsia" w:ascii="宋体" w:hAnsi="宋体"/>
                <w:color w:val="auto"/>
                <w:kern w:val="2"/>
                <w:sz w:val="21"/>
                <w:szCs w:val="21"/>
                <w:lang w:bidi="ar-SA"/>
              </w:rPr>
              <w:t>采购过程控制（包括外包过程）：首先编制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w:t>
            </w:r>
            <w:r>
              <w:rPr>
                <w:rFonts w:hint="eastAsia" w:ascii="宋体" w:hAnsi="宋体"/>
                <w:color w:val="auto"/>
                <w:kern w:val="2"/>
                <w:sz w:val="21"/>
                <w:szCs w:val="21"/>
                <w:lang w:eastAsia="zh-CN" w:bidi="ar-SA"/>
              </w:rPr>
              <w:t>（包括外包方）</w:t>
            </w:r>
            <w:r>
              <w:rPr>
                <w:rFonts w:hint="eastAsia" w:ascii="宋体" w:hAnsi="宋体"/>
                <w:color w:val="auto"/>
                <w:kern w:val="2"/>
                <w:sz w:val="21"/>
                <w:szCs w:val="21"/>
                <w:lang w:bidi="ar-SA"/>
              </w:rPr>
              <w:t>进行了评价，保证采购产品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的质量符合公司要求；通过制定采购计划实施采购，目前</w:t>
            </w:r>
            <w:r>
              <w:rPr>
                <w:rFonts w:hint="eastAsia" w:ascii="宋体" w:hAnsi="宋体"/>
                <w:color w:val="auto"/>
                <w:kern w:val="2"/>
                <w:sz w:val="21"/>
                <w:szCs w:val="21"/>
                <w:lang w:eastAsia="zh-CN" w:bidi="ar-SA"/>
              </w:rPr>
              <w:t>对外包方的</w:t>
            </w:r>
            <w:r>
              <w:rPr>
                <w:rFonts w:hint="eastAsia" w:ascii="宋体" w:hAnsi="宋体"/>
                <w:color w:val="auto"/>
                <w:kern w:val="2"/>
                <w:sz w:val="21"/>
                <w:szCs w:val="21"/>
                <w:lang w:bidi="ar-SA"/>
              </w:rPr>
              <w:t>评价</w:t>
            </w:r>
            <w:r>
              <w:rPr>
                <w:rFonts w:hint="eastAsia" w:ascii="宋体" w:hAnsi="宋体"/>
                <w:color w:val="auto"/>
                <w:kern w:val="2"/>
                <w:sz w:val="21"/>
                <w:szCs w:val="21"/>
                <w:lang w:eastAsia="zh-CN" w:bidi="ar-SA"/>
              </w:rPr>
              <w:t>还欠缺，已开具不符合报告，要求限期整改</w:t>
            </w:r>
            <w:r>
              <w:rPr>
                <w:rFonts w:hint="eastAsia" w:ascii="Times New Roman" w:hAnsi="Times New Roman" w:eastAsia="宋体" w:cs="Times New Roman"/>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宋体" w:hAnsi="宋体"/>
                <w:color w:val="000000"/>
                <w:szCs w:val="21"/>
              </w:rPr>
              <w:t>生产</w:t>
            </w:r>
            <w:r>
              <w:rPr>
                <w:rFonts w:hint="eastAsia" w:ascii="宋体" w:hAnsi="宋体"/>
                <w:color w:val="000000"/>
                <w:szCs w:val="21"/>
                <w:lang w:val="en-US" w:eastAsia="zh-CN"/>
              </w:rPr>
              <w:t>和服务提供</w:t>
            </w:r>
            <w:r>
              <w:rPr>
                <w:rFonts w:hint="eastAsia" w:ascii="宋体" w:hAnsi="宋体"/>
                <w:color w:val="000000"/>
                <w:szCs w:val="21"/>
              </w:rPr>
              <w:t>过程控制：</w:t>
            </w:r>
            <w:r>
              <w:rPr>
                <w:rFonts w:hint="eastAsia" w:ascii="宋体" w:cs="宋体"/>
                <w:szCs w:val="21"/>
              </w:rPr>
              <w:t>根据合同策划组织</w:t>
            </w:r>
            <w:r>
              <w:rPr>
                <w:rFonts w:hint="eastAsia" w:ascii="宋体" w:cs="宋体"/>
                <w:szCs w:val="21"/>
                <w:lang w:val="en-US" w:eastAsia="zh-CN"/>
              </w:rPr>
              <w:t>检测</w:t>
            </w:r>
            <w:r>
              <w:rPr>
                <w:rFonts w:hint="eastAsia" w:ascii="宋体" w:cs="宋体"/>
                <w:szCs w:val="21"/>
              </w:rPr>
              <w:t>人员</w:t>
            </w:r>
            <w:r>
              <w:rPr>
                <w:rFonts w:hint="eastAsia" w:ascii="宋体" w:cs="宋体"/>
                <w:szCs w:val="21"/>
                <w:lang w:val="en-US" w:eastAsia="zh-CN"/>
              </w:rPr>
              <w:t>检测，主要控制的过程有</w:t>
            </w:r>
            <w:r>
              <w:rPr>
                <w:rFonts w:hint="eastAsia" w:ascii="宋体" w:hAnsi="宋体" w:cs="Times New Roman"/>
                <w:color w:val="000000"/>
                <w:sz w:val="20"/>
                <w:szCs w:val="20"/>
                <w:lang w:val="en-US" w:eastAsia="zh-CN"/>
              </w:rPr>
              <w:t>见证取样、检测、记录数据、数据整理、编制报告</w:t>
            </w:r>
            <w:r>
              <w:rPr>
                <w:rFonts w:hint="eastAsia" w:ascii="宋体" w:cs="宋体"/>
                <w:szCs w:val="21"/>
              </w:rPr>
              <w:t>。</w:t>
            </w:r>
            <w:r>
              <w:rPr>
                <w:rFonts w:hint="eastAsia" w:ascii="宋体" w:cs="宋体"/>
                <w:szCs w:val="21"/>
                <w:lang w:val="en-US" w:eastAsia="zh-CN"/>
              </w:rPr>
              <w:t>制定了</w:t>
            </w:r>
            <w:r>
              <w:rPr>
                <w:rFonts w:hint="eastAsia" w:ascii="宋体" w:hAnsi="宋体"/>
                <w:color w:val="000000"/>
                <w:sz w:val="20"/>
                <w:szCs w:val="20"/>
                <w:lang w:eastAsia="zh-CN"/>
              </w:rPr>
              <w:t>《</w:t>
            </w:r>
            <w:r>
              <w:rPr>
                <w:rFonts w:hint="eastAsia" w:ascii="宋体" w:hAnsi="宋体"/>
                <w:color w:val="000000"/>
                <w:sz w:val="20"/>
                <w:szCs w:val="20"/>
                <w:lang w:val="en-US" w:eastAsia="zh-CN"/>
              </w:rPr>
              <w:t>检验方法和方法确认控制程序</w:t>
            </w:r>
            <w:r>
              <w:rPr>
                <w:rFonts w:hint="eastAsia" w:ascii="宋体" w:hAnsi="宋体"/>
                <w:color w:val="000000"/>
                <w:sz w:val="20"/>
                <w:szCs w:val="20"/>
                <w:lang w:eastAsia="zh-CN"/>
              </w:rPr>
              <w:t>》《</w:t>
            </w:r>
            <w:r>
              <w:rPr>
                <w:rFonts w:hint="eastAsia" w:ascii="宋体" w:hAnsi="宋体"/>
                <w:color w:val="000000"/>
                <w:sz w:val="20"/>
                <w:szCs w:val="20"/>
                <w:lang w:val="en-US" w:eastAsia="zh-CN"/>
              </w:rPr>
              <w:t>样品抽取程序</w:t>
            </w:r>
            <w:r>
              <w:rPr>
                <w:rFonts w:hint="eastAsia" w:ascii="宋体" w:hAnsi="宋体"/>
                <w:color w:val="000000"/>
                <w:sz w:val="20"/>
                <w:szCs w:val="20"/>
                <w:lang w:eastAsia="zh-CN"/>
              </w:rPr>
              <w:t>》《</w:t>
            </w:r>
            <w:r>
              <w:rPr>
                <w:rFonts w:hint="eastAsia" w:ascii="宋体" w:hAnsi="宋体"/>
                <w:color w:val="000000"/>
                <w:sz w:val="20"/>
                <w:szCs w:val="20"/>
                <w:lang w:val="en-US" w:eastAsia="zh-CN"/>
              </w:rPr>
              <w:t>现场检验控制程序</w:t>
            </w:r>
            <w:r>
              <w:rPr>
                <w:rFonts w:hint="eastAsia" w:ascii="宋体" w:hAnsi="宋体"/>
                <w:color w:val="000000"/>
                <w:sz w:val="20"/>
                <w:szCs w:val="20"/>
                <w:lang w:eastAsia="zh-CN"/>
              </w:rPr>
              <w:t>》《</w:t>
            </w:r>
            <w:r>
              <w:rPr>
                <w:rFonts w:hint="eastAsia" w:ascii="宋体" w:hAnsi="宋体"/>
                <w:color w:val="000000"/>
                <w:sz w:val="20"/>
                <w:szCs w:val="20"/>
                <w:lang w:val="en-US" w:eastAsia="zh-CN"/>
              </w:rPr>
              <w:t>测量不确定度评定与应用控制程序</w:t>
            </w:r>
            <w:r>
              <w:rPr>
                <w:rFonts w:hint="eastAsia" w:ascii="宋体" w:hAnsi="宋体"/>
                <w:color w:val="000000"/>
                <w:sz w:val="20"/>
                <w:szCs w:val="20"/>
                <w:lang w:eastAsia="zh-CN"/>
              </w:rPr>
              <w:t>》</w:t>
            </w:r>
            <w:r>
              <w:rPr>
                <w:rFonts w:hint="eastAsia" w:ascii="宋体" w:hAnsi="宋体"/>
                <w:color w:val="000000"/>
                <w:szCs w:val="21"/>
              </w:rPr>
              <w:t>，</w:t>
            </w:r>
            <w:r>
              <w:rPr>
                <w:rFonts w:hint="eastAsia"/>
                <w:sz w:val="21"/>
                <w:szCs w:val="21"/>
              </w:rPr>
              <w:t>对</w:t>
            </w:r>
            <w:r>
              <w:rPr>
                <w:rFonts w:hint="eastAsia"/>
                <w:sz w:val="21"/>
                <w:szCs w:val="21"/>
                <w:lang w:val="en-US" w:eastAsia="zh-CN"/>
              </w:rPr>
              <w:t>取样</w:t>
            </w:r>
            <w:r>
              <w:rPr>
                <w:rFonts w:hint="eastAsia"/>
                <w:sz w:val="21"/>
                <w:szCs w:val="21"/>
              </w:rPr>
              <w:t>、检测</w:t>
            </w:r>
            <w:r>
              <w:rPr>
                <w:rFonts w:hint="eastAsia"/>
                <w:sz w:val="21"/>
                <w:szCs w:val="21"/>
                <w:lang w:eastAsia="zh-CN"/>
              </w:rPr>
              <w:t>、</w:t>
            </w:r>
            <w:r>
              <w:rPr>
                <w:rFonts w:hint="eastAsia"/>
                <w:sz w:val="21"/>
                <w:szCs w:val="21"/>
                <w:lang w:val="en-US" w:eastAsia="zh-CN"/>
              </w:rPr>
              <w:t>数据整理</w:t>
            </w:r>
            <w:r>
              <w:rPr>
                <w:rFonts w:hint="eastAsia"/>
                <w:sz w:val="21"/>
                <w:szCs w:val="21"/>
              </w:rPr>
              <w:t>各个过程、因素进行控制。</w:t>
            </w:r>
            <w:r>
              <w:rPr>
                <w:rFonts w:hint="eastAsia" w:ascii="宋体" w:hAnsi="宋体"/>
                <w:sz w:val="21"/>
                <w:szCs w:val="21"/>
                <w:lang w:val="en-GB"/>
              </w:rPr>
              <w:t>现场查看</w:t>
            </w:r>
            <w:r>
              <w:rPr>
                <w:rFonts w:hint="eastAsia"/>
                <w:sz w:val="21"/>
                <w:szCs w:val="21"/>
                <w:lang w:val="en-US" w:eastAsia="zh-CN"/>
              </w:rPr>
              <w:t>取样</w:t>
            </w:r>
            <w:r>
              <w:rPr>
                <w:rFonts w:hint="eastAsia"/>
                <w:sz w:val="21"/>
                <w:szCs w:val="21"/>
              </w:rPr>
              <w:t>、检测</w:t>
            </w:r>
            <w:r>
              <w:rPr>
                <w:rFonts w:hint="eastAsia" w:ascii="宋体" w:hAnsi="宋体"/>
                <w:sz w:val="21"/>
                <w:szCs w:val="21"/>
                <w:lang w:val="en-GB"/>
              </w:rPr>
              <w:t>记录及</w:t>
            </w:r>
            <w:r>
              <w:rPr>
                <w:rFonts w:hint="eastAsia"/>
                <w:sz w:val="21"/>
                <w:szCs w:val="21"/>
                <w:lang w:val="en-US" w:eastAsia="zh-CN"/>
              </w:rPr>
              <w:t>检测报告</w:t>
            </w:r>
            <w:r>
              <w:rPr>
                <w:rFonts w:hint="eastAsia" w:ascii="宋体" w:hAnsi="宋体"/>
                <w:sz w:val="21"/>
                <w:szCs w:val="21"/>
                <w:lang w:val="en-GB"/>
              </w:rPr>
              <w:t>，均按照要求进行操作</w:t>
            </w:r>
            <w:r>
              <w:rPr>
                <w:rFonts w:hint="eastAsia"/>
                <w:sz w:val="21"/>
                <w:szCs w:val="21"/>
              </w:rPr>
              <w:t>，目前生产和服务过程控制情况较好</w:t>
            </w:r>
            <w:r>
              <w:rPr>
                <w:rFonts w:hint="eastAsia" w:ascii="Times New Roman" w:hAnsi="Times New Roman" w:eastAsia="宋体" w:cs="Times New Roman"/>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宋体" w:hAnsi="宋体"/>
                <w:color w:val="auto"/>
                <w:kern w:val="2"/>
                <w:sz w:val="21"/>
                <w:szCs w:val="21"/>
                <w:lang w:bidi="ar-SA"/>
              </w:rPr>
              <w:t>监测设备控制：建立了监测设备台帐，基本满足目前产品检测要求，</w:t>
            </w:r>
            <w:r>
              <w:rPr>
                <w:rFonts w:hint="eastAsia" w:ascii="宋体" w:hAnsi="宋体"/>
                <w:color w:val="auto"/>
                <w:kern w:val="2"/>
                <w:sz w:val="21"/>
                <w:szCs w:val="21"/>
                <w:lang w:eastAsia="zh-CN" w:bidi="ar-SA"/>
              </w:rPr>
              <w:t>现场审核查看了</w:t>
            </w:r>
            <w:r>
              <w:rPr>
                <w:rFonts w:hint="eastAsia" w:ascii="宋体" w:hAnsi="宋体"/>
                <w:color w:val="auto"/>
                <w:kern w:val="2"/>
                <w:sz w:val="21"/>
                <w:szCs w:val="21"/>
                <w:lang w:bidi="ar-SA"/>
              </w:rPr>
              <w:t>检测仪器检定证书</w:t>
            </w:r>
            <w:r>
              <w:rPr>
                <w:rFonts w:hint="eastAsia" w:ascii="宋体" w:hAnsi="宋体"/>
                <w:color w:val="auto"/>
                <w:kern w:val="2"/>
                <w:sz w:val="21"/>
                <w:szCs w:val="21"/>
                <w:lang w:eastAsia="zh-CN" w:bidi="ar-SA"/>
              </w:rPr>
              <w:t>，均在有效期内</w:t>
            </w:r>
            <w:r>
              <w:rPr>
                <w:rFonts w:hint="eastAsia" w:ascii="宋体" w:hAnsi="宋体"/>
                <w:color w:val="auto"/>
                <w:kern w:val="2"/>
                <w:sz w:val="21"/>
                <w:szCs w:val="21"/>
                <w:lang w:bidi="ar-SA"/>
              </w:rPr>
              <w:t>。</w:t>
            </w:r>
            <w:r>
              <w:rPr>
                <w:rFonts w:hint="eastAsia" w:ascii="宋体" w:hAnsi="宋体"/>
                <w:color w:val="auto"/>
                <w:kern w:val="2"/>
                <w:sz w:val="21"/>
                <w:szCs w:val="21"/>
                <w:lang w:eastAsia="zh-CN" w:bidi="ar-SA"/>
              </w:rPr>
              <w:t>监视设备</w:t>
            </w:r>
            <w:r>
              <w:rPr>
                <w:rFonts w:hint="eastAsia" w:ascii="宋体" w:hAnsi="宋体"/>
                <w:color w:val="auto"/>
                <w:kern w:val="2"/>
                <w:sz w:val="21"/>
                <w:szCs w:val="21"/>
                <w:lang w:bidi="ar-SA"/>
              </w:rPr>
              <w:t>控制符合要求</w:t>
            </w:r>
            <w:r>
              <w:rPr>
                <w:rFonts w:hint="eastAsia" w:ascii="宋体" w:hAnsi="宋体"/>
                <w:color w:val="auto"/>
                <w:kern w:val="2"/>
                <w:sz w:val="21"/>
                <w:szCs w:val="21"/>
                <w:lang w:eastAsia="zh-CN" w:bidi="ar-SA"/>
              </w:rPr>
              <w:t>。</w:t>
            </w:r>
          </w:p>
          <w:p>
            <w:pPr>
              <w:keepNext w:val="0"/>
              <w:keepLines w:val="0"/>
              <w:pageBreakBefore w:val="0"/>
              <w:widowControl w:val="0"/>
              <w:tabs>
                <w:tab w:val="left" w:pos="7380"/>
              </w:tabs>
              <w:kinsoku/>
              <w:wordWrap/>
              <w:overflowPunct/>
              <w:topLinePunct w:val="0"/>
              <w:autoSpaceDE/>
              <w:autoSpaceDN/>
              <w:bidi w:val="0"/>
              <w:adjustRightInd/>
              <w:snapToGrid/>
              <w:spacing w:line="320" w:lineRule="exact"/>
              <w:ind w:left="0" w:leftChars="0" w:right="0" w:rightChars="0" w:firstLine="420" w:firstLineChars="20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宋体" w:hAnsi="宋体"/>
                <w:color w:val="auto"/>
                <w:sz w:val="21"/>
                <w:szCs w:val="21"/>
                <w:lang w:val="en-GB"/>
              </w:rPr>
              <w:t>产品</w:t>
            </w:r>
            <w:r>
              <w:rPr>
                <w:rFonts w:hint="eastAsia" w:ascii="宋体" w:hAnsi="宋体"/>
                <w:color w:val="auto"/>
                <w:sz w:val="21"/>
                <w:szCs w:val="21"/>
                <w:lang w:val="en-GB" w:eastAsia="zh-CN"/>
              </w:rPr>
              <w:t>和服务的放行</w:t>
            </w:r>
            <w:r>
              <w:rPr>
                <w:rFonts w:hint="eastAsia" w:ascii="宋体" w:hAnsi="宋体"/>
                <w:color w:val="auto"/>
                <w:sz w:val="21"/>
                <w:szCs w:val="21"/>
                <w:lang w:val="en-GB"/>
              </w:rPr>
              <w:t>：</w:t>
            </w:r>
            <w:r>
              <w:rPr>
                <w:rFonts w:hint="eastAsia"/>
                <w:color w:val="auto"/>
                <w:sz w:val="21"/>
                <w:szCs w:val="21"/>
              </w:rPr>
              <w:t>对过程质量关键控制点、</w:t>
            </w:r>
            <w:r>
              <w:rPr>
                <w:rFonts w:hint="eastAsia" w:ascii="宋体" w:hAnsi="宋体"/>
                <w:color w:val="auto"/>
                <w:sz w:val="21"/>
                <w:szCs w:val="21"/>
              </w:rPr>
              <w:t>过程检验、</w:t>
            </w:r>
            <w:r>
              <w:rPr>
                <w:rFonts w:hint="eastAsia" w:ascii="宋体" w:hAnsi="宋体"/>
                <w:color w:val="auto"/>
                <w:sz w:val="21"/>
                <w:szCs w:val="21"/>
                <w:lang w:val="en-US" w:eastAsia="zh-CN"/>
              </w:rPr>
              <w:t>报告</w:t>
            </w:r>
            <w:r>
              <w:rPr>
                <w:rFonts w:hint="eastAsia" w:ascii="宋体" w:hAnsi="宋体"/>
                <w:color w:val="auto"/>
                <w:sz w:val="21"/>
                <w:szCs w:val="21"/>
              </w:rPr>
              <w:t>验收</w:t>
            </w:r>
            <w:r>
              <w:rPr>
                <w:rFonts w:hint="eastAsia"/>
                <w:color w:val="auto"/>
                <w:sz w:val="21"/>
                <w:szCs w:val="21"/>
              </w:rPr>
              <w:t>实施了监控和验证。</w:t>
            </w:r>
            <w:r>
              <w:rPr>
                <w:rFonts w:hint="eastAsia" w:ascii="宋体" w:hAnsi="宋体"/>
                <w:color w:val="auto"/>
                <w:sz w:val="21"/>
                <w:szCs w:val="21"/>
                <w:lang w:val="en-GB"/>
              </w:rPr>
              <w:t>通过编制作业文件、管理制度和相关措施，对产品形成的主要过程实施了有效的控制。</w:t>
            </w:r>
            <w:r>
              <w:rPr>
                <w:rFonts w:hint="eastAsia" w:ascii="宋体" w:hAnsi="宋体"/>
                <w:color w:val="auto"/>
                <w:sz w:val="21"/>
                <w:szCs w:val="21"/>
                <w:lang w:val="en-US" w:eastAsia="zh-CN"/>
              </w:rPr>
              <w:t>按</w:t>
            </w:r>
            <w:r>
              <w:rPr>
                <w:rFonts w:hint="eastAsia" w:ascii="宋体" w:hAnsi="宋体"/>
                <w:color w:val="auto"/>
                <w:sz w:val="21"/>
                <w:szCs w:val="21"/>
              </w:rPr>
              <w:t>照顾客要求和相关的法律法规进行</w:t>
            </w:r>
            <w:r>
              <w:rPr>
                <w:rFonts w:hint="eastAsia" w:ascii="宋体" w:hAnsi="宋体"/>
                <w:color w:val="auto"/>
                <w:sz w:val="21"/>
                <w:szCs w:val="21"/>
                <w:lang w:val="en-US" w:eastAsia="zh-CN"/>
              </w:rPr>
              <w:t>检测服务</w:t>
            </w:r>
            <w:r>
              <w:rPr>
                <w:rFonts w:hint="eastAsia" w:ascii="宋体" w:hAnsi="宋体"/>
                <w:color w:val="auto"/>
                <w:sz w:val="21"/>
                <w:szCs w:val="21"/>
              </w:rPr>
              <w:t>，对项目所需材料</w:t>
            </w:r>
            <w:r>
              <w:rPr>
                <w:rFonts w:hint="eastAsia" w:ascii="宋体" w:hAnsi="宋体"/>
                <w:color w:val="auto"/>
                <w:sz w:val="21"/>
                <w:szCs w:val="21"/>
                <w:lang w:val="en-US" w:eastAsia="zh-CN"/>
              </w:rPr>
              <w:t>取样</w:t>
            </w:r>
            <w:r>
              <w:rPr>
                <w:rFonts w:hint="eastAsia" w:ascii="宋体" w:hAnsi="宋体"/>
                <w:color w:val="auto"/>
                <w:sz w:val="21"/>
                <w:szCs w:val="21"/>
              </w:rPr>
              <w:t>、</w:t>
            </w:r>
            <w:r>
              <w:rPr>
                <w:rFonts w:hint="eastAsia" w:ascii="宋体" w:hAnsi="宋体"/>
                <w:color w:val="auto"/>
                <w:sz w:val="21"/>
                <w:szCs w:val="21"/>
                <w:lang w:val="en-US" w:eastAsia="zh-CN"/>
              </w:rPr>
              <w:t>检测验证</w:t>
            </w:r>
            <w:r>
              <w:rPr>
                <w:rFonts w:hint="eastAsia" w:ascii="宋体" w:hAnsi="宋体"/>
                <w:color w:val="auto"/>
                <w:sz w:val="21"/>
                <w:szCs w:val="21"/>
              </w:rPr>
              <w:t>、交付验收等均符合相关规定，提供了</w:t>
            </w:r>
            <w:r>
              <w:rPr>
                <w:rFonts w:hint="eastAsia" w:ascii="宋体" w:hAnsi="宋体"/>
                <w:color w:val="auto"/>
                <w:sz w:val="21"/>
                <w:szCs w:val="21"/>
                <w:lang w:val="en-US" w:eastAsia="zh-CN"/>
              </w:rPr>
              <w:t>取样</w:t>
            </w:r>
            <w:r>
              <w:rPr>
                <w:rFonts w:hint="eastAsia" w:ascii="宋体" w:hAnsi="宋体"/>
                <w:color w:val="auto"/>
                <w:sz w:val="21"/>
                <w:szCs w:val="21"/>
              </w:rPr>
              <w:t>记录</w:t>
            </w:r>
            <w:r>
              <w:rPr>
                <w:rFonts w:hint="eastAsia" w:ascii="宋体" w:hAnsi="宋体"/>
                <w:color w:val="auto"/>
                <w:sz w:val="21"/>
                <w:szCs w:val="21"/>
                <w:lang w:eastAsia="zh-CN"/>
              </w:rPr>
              <w:t>、</w:t>
            </w:r>
            <w:r>
              <w:rPr>
                <w:rFonts w:hint="eastAsia" w:ascii="宋体" w:hAnsi="宋体"/>
                <w:color w:val="auto"/>
                <w:sz w:val="21"/>
                <w:szCs w:val="21"/>
                <w:lang w:val="en-US" w:eastAsia="zh-CN"/>
              </w:rPr>
              <w:t>检测原始记录</w:t>
            </w:r>
            <w:r>
              <w:rPr>
                <w:rFonts w:hint="eastAsia" w:ascii="宋体" w:hAnsi="宋体"/>
                <w:color w:val="auto"/>
                <w:sz w:val="21"/>
                <w:szCs w:val="21"/>
                <w:lang w:eastAsia="zh-CN"/>
              </w:rPr>
              <w:t>、</w:t>
            </w:r>
            <w:r>
              <w:rPr>
                <w:rFonts w:hint="eastAsia" w:ascii="宋体" w:hAnsi="宋体"/>
                <w:color w:val="auto"/>
                <w:sz w:val="21"/>
                <w:szCs w:val="21"/>
                <w:lang w:val="en-US" w:eastAsia="zh-CN"/>
              </w:rPr>
              <w:t>检测报告</w:t>
            </w:r>
            <w:r>
              <w:rPr>
                <w:rFonts w:hint="eastAsia" w:ascii="宋体" w:hAnsi="宋体"/>
                <w:color w:val="auto"/>
                <w:sz w:val="21"/>
                <w:szCs w:val="21"/>
                <w:lang w:eastAsia="zh-CN"/>
              </w:rPr>
              <w:t>。</w:t>
            </w:r>
            <w:r>
              <w:rPr>
                <w:rFonts w:hint="eastAsia" w:ascii="宋体" w:hAnsi="宋体"/>
                <w:color w:val="auto"/>
                <w:sz w:val="21"/>
                <w:szCs w:val="21"/>
              </w:rPr>
              <w:t>记录/报告符合相关技术规范，</w:t>
            </w:r>
            <w:r>
              <w:rPr>
                <w:rFonts w:hint="eastAsia" w:ascii="宋体" w:hAnsi="宋体"/>
                <w:color w:val="auto"/>
                <w:sz w:val="21"/>
                <w:szCs w:val="21"/>
                <w:lang w:eastAsia="zh-CN"/>
              </w:rPr>
              <w:t>经查符合要求</w:t>
            </w:r>
            <w:r>
              <w:rPr>
                <w:rFonts w:hint="eastAsia" w:ascii="Times New Roman" w:hAnsi="Times New Roman" w:eastAsia="宋体" w:cs="Times New Roman"/>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b/>
                <w:color w:val="000000" w:themeColor="text1"/>
                <w:sz w:val="20"/>
                <w:szCs w:val="20"/>
              </w:rPr>
            </w:pPr>
            <w:r>
              <w:rPr>
                <w:rFonts w:hint="eastAsia" w:ascii="Times New Roman" w:hAnsi="Times New Roman" w:eastAsia="宋体" w:cs="Times New Roman"/>
                <w:color w:val="auto"/>
                <w:kern w:val="2"/>
                <w:sz w:val="21"/>
                <w:szCs w:val="21"/>
                <w:lang w:val="en-GB" w:eastAsia="zh-CN" w:bidi="ar-SA"/>
              </w:rPr>
              <w:t>产品销售过程：</w:t>
            </w:r>
            <w:r>
              <w:rPr>
                <w:rFonts w:hint="eastAsia" w:ascii="Times New Roman" w:hAnsi="Times New Roman" w:eastAsia="宋体" w:cs="Times New Roman"/>
                <w:color w:val="auto"/>
                <w:kern w:val="2"/>
                <w:sz w:val="21"/>
                <w:szCs w:val="21"/>
                <w:lang w:val="en-US" w:eastAsia="zh-CN" w:bidi="ar-SA"/>
              </w:rPr>
              <w:t>公司主要提供的产品和服务为</w:t>
            </w:r>
            <w:r>
              <w:rPr>
                <w:rFonts w:hint="eastAsia" w:cs="Times New Roman"/>
                <w:color w:val="auto"/>
                <w:kern w:val="2"/>
                <w:sz w:val="21"/>
                <w:szCs w:val="21"/>
                <w:lang w:val="en-US" w:eastAsia="zh-CN" w:bidi="ar-SA"/>
              </w:rPr>
              <w:t>检测服务</w:t>
            </w:r>
            <w:r>
              <w:rPr>
                <w:rFonts w:hint="eastAsia" w:ascii="Times New Roman" w:hAnsi="Times New Roman" w:eastAsia="宋体" w:cs="Times New Roman"/>
                <w:color w:val="auto"/>
                <w:kern w:val="2"/>
                <w:sz w:val="21"/>
                <w:szCs w:val="21"/>
                <w:lang w:val="en-US" w:eastAsia="zh-CN" w:bidi="ar-SA"/>
              </w:rPr>
              <w:t>，与产品和服务有关的要求主要体现在标书、合同及相关法律法规及标准中。一般通过电话、老客户介绍、招投标等方式进行销售。在签订正式合同前，由</w:t>
            </w:r>
            <w:r>
              <w:rPr>
                <w:rFonts w:hint="eastAsia" w:cs="Times New Roman"/>
                <w:color w:val="auto"/>
                <w:kern w:val="2"/>
                <w:sz w:val="21"/>
                <w:szCs w:val="21"/>
                <w:lang w:val="en-US" w:eastAsia="zh-CN" w:bidi="ar-SA"/>
              </w:rPr>
              <w:t>业务</w:t>
            </w:r>
            <w:r>
              <w:rPr>
                <w:rFonts w:hint="eastAsia" w:ascii="Times New Roman" w:hAnsi="Times New Roman" w:eastAsia="宋体" w:cs="Times New Roman"/>
                <w:color w:val="auto"/>
                <w:kern w:val="2"/>
                <w:sz w:val="21"/>
                <w:szCs w:val="21"/>
                <w:lang w:val="en-US" w:eastAsia="zh-CN" w:bidi="ar-SA"/>
              </w:rPr>
              <w:t>部组织进行合同评审，签订合同后，组织</w:t>
            </w:r>
            <w:r>
              <w:rPr>
                <w:rFonts w:hint="eastAsia" w:cs="Times New Roman"/>
                <w:color w:val="auto"/>
                <w:kern w:val="2"/>
                <w:sz w:val="21"/>
                <w:szCs w:val="21"/>
                <w:lang w:val="en-US" w:eastAsia="zh-CN" w:bidi="ar-SA"/>
              </w:rPr>
              <w:t>进行检测，</w:t>
            </w:r>
            <w:r>
              <w:rPr>
                <w:rFonts w:hint="eastAsia" w:ascii="Times New Roman" w:hAnsi="Times New Roman" w:eastAsia="宋体" w:cs="Times New Roman"/>
                <w:color w:val="auto"/>
                <w:kern w:val="2"/>
                <w:sz w:val="21"/>
                <w:szCs w:val="21"/>
                <w:lang w:val="en-US" w:eastAsia="zh-CN" w:bidi="ar-SA"/>
              </w:rPr>
              <w:t>及时与客户沟通，按时交付。收集顾客对产品的反馈信息，开展顾客满意度调查，包括顾客抱怨和投诉，体系建立以来未发生顾客投诉事件。公司</w:t>
            </w:r>
            <w:r>
              <w:rPr>
                <w:rFonts w:hint="eastAsia" w:ascii="Times New Roman" w:hAnsi="Times New Roman" w:eastAsia="宋体" w:cs="Times New Roman"/>
                <w:color w:val="auto"/>
                <w:kern w:val="2"/>
                <w:sz w:val="21"/>
                <w:szCs w:val="21"/>
                <w:lang w:val="en-GB" w:eastAsia="zh-CN" w:bidi="ar-SA"/>
              </w:rPr>
              <w:t>销售过程基本符合要求</w:t>
            </w:r>
            <w:r>
              <w:rPr>
                <w:rFonts w:hint="eastAsia" w:ascii="Times New Roman" w:hAnsi="Times New Roman" w:cs="Times New Roman"/>
                <w:color w:val="auto"/>
                <w:kern w:val="2"/>
                <w:sz w:val="21"/>
                <w:szCs w:val="21"/>
                <w:lang w:val="en-GB"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2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主要满足标准要求，向顾客提供检测报告，提供有客户验收记录。</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20" w:lineRule="exact"/>
              <w:ind w:firstLine="201" w:firstLineChars="100"/>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keepNext w:val="0"/>
              <w:keepLines w:val="0"/>
              <w:pageBreakBefore w:val="0"/>
              <w:kinsoku/>
              <w:wordWrap/>
              <w:overflowPunct/>
              <w:topLinePunct w:val="0"/>
              <w:autoSpaceDE/>
              <w:autoSpaceDN/>
              <w:bidi w:val="0"/>
              <w:adjustRightInd/>
              <w:snapToGrid/>
              <w:spacing w:line="320" w:lineRule="exact"/>
              <w:ind w:firstLine="197" w:firstLineChars="98"/>
              <w:textAlignment w:val="auto"/>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ascii="宋体" w:hAnsi="宋体"/>
                <w:szCs w:val="21"/>
              </w:rPr>
              <w:t>编制《不合格品控制程序》，其规定了不合格品的识别、隔离、标识、评审及处置方面的要求。在原材料</w:t>
            </w:r>
            <w:r>
              <w:rPr>
                <w:rFonts w:hint="eastAsia" w:ascii="宋体" w:hAnsi="宋体"/>
                <w:szCs w:val="21"/>
                <w:lang w:val="en-US" w:eastAsia="zh-CN"/>
              </w:rPr>
              <w:t>/采购物资</w:t>
            </w:r>
            <w:r>
              <w:rPr>
                <w:rFonts w:hint="eastAsia" w:ascii="宋体" w:hAnsi="宋体"/>
                <w:szCs w:val="21"/>
              </w:rPr>
              <w:t>进货检验中出现的不合格可进行退货处理，</w:t>
            </w:r>
            <w:r>
              <w:rPr>
                <w:rFonts w:hint="eastAsia" w:ascii="宋体" w:hAnsi="宋体"/>
                <w:szCs w:val="21"/>
                <w:lang w:val="en-US" w:eastAsia="zh-CN"/>
              </w:rPr>
              <w:t>检测、数据处理、出具报告等环节均有复检以确保合格</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sz w:val="21"/>
                <w:szCs w:val="21"/>
                <w:lang w:val="en-US" w:eastAsia="zh-CN"/>
              </w:rPr>
              <w:t>编制</w:t>
            </w:r>
            <w:r>
              <w:rPr>
                <w:rFonts w:hint="eastAsia"/>
                <w:sz w:val="21"/>
                <w:szCs w:val="21"/>
              </w:rPr>
              <w:t>环境因素和危险源识别评价与控制程序</w:t>
            </w:r>
            <w:r>
              <w:rPr>
                <w:rFonts w:hint="eastAsia"/>
                <w:b w:val="0"/>
                <w:bCs w:val="0"/>
                <w:sz w:val="21"/>
                <w:szCs w:val="21"/>
                <w:lang w:eastAsia="zh-CN"/>
              </w:rPr>
              <w:t>、</w:t>
            </w:r>
            <w:r>
              <w:rPr>
                <w:rFonts w:hint="eastAsia"/>
                <w:sz w:val="21"/>
                <w:szCs w:val="21"/>
              </w:rPr>
              <w:t>运行控制程序</w:t>
            </w:r>
            <w:r>
              <w:rPr>
                <w:rFonts w:hint="eastAsia"/>
                <w:sz w:val="21"/>
                <w:szCs w:val="21"/>
                <w:lang w:eastAsia="zh-CN"/>
              </w:rPr>
              <w:t>、</w:t>
            </w:r>
            <w:r>
              <w:rPr>
                <w:rFonts w:hint="eastAsia"/>
                <w:b w:val="0"/>
                <w:bCs w:val="0"/>
                <w:sz w:val="21"/>
                <w:szCs w:val="21"/>
              </w:rPr>
              <w:t>固体废弃物管理控制程序、对相关方施加影响控制程序、办公室安全管理制度等，针对各部门所负责的工作，分别对环境运行过程进行控制</w:t>
            </w:r>
            <w:r>
              <w:rPr>
                <w:rFonts w:hint="eastAsia"/>
                <w:b w:val="0"/>
                <w:bCs w:val="0"/>
                <w:sz w:val="21"/>
                <w:szCs w:val="21"/>
                <w:lang w:val="en-GB"/>
              </w:rPr>
              <w:t>，</w:t>
            </w:r>
            <w:r>
              <w:rPr>
                <w:rFonts w:hint="eastAsia"/>
                <w:b w:val="0"/>
                <w:bCs w:val="0"/>
                <w:sz w:val="21"/>
                <w:szCs w:val="21"/>
              </w:rPr>
              <w:t>涉及有固废处置、资源控制、火灾、相关方施加影响等。</w:t>
            </w:r>
            <w:r>
              <w:rPr>
                <w:rFonts w:hint="eastAsia"/>
                <w:b w:val="0"/>
                <w:bCs w:val="0"/>
                <w:sz w:val="21"/>
                <w:szCs w:val="21"/>
                <w:lang w:val="en-US" w:eastAsia="zh-CN"/>
              </w:rPr>
              <w:t>未</w:t>
            </w:r>
            <w:r>
              <w:rPr>
                <w:rFonts w:hint="eastAsia"/>
                <w:b w:val="0"/>
                <w:bCs w:val="0"/>
                <w:sz w:val="21"/>
                <w:szCs w:val="21"/>
              </w:rPr>
              <w:t>现场查看办公区域干净整洁，配置灭火器等消防设施</w:t>
            </w:r>
            <w:r>
              <w:rPr>
                <w:rFonts w:hint="eastAsia"/>
                <w:b w:val="0"/>
                <w:bCs w:val="0"/>
                <w:sz w:val="21"/>
                <w:szCs w:val="21"/>
                <w:lang w:eastAsia="zh-CN"/>
              </w:rPr>
              <w:t>。</w:t>
            </w:r>
            <w:r>
              <w:rPr>
                <w:rFonts w:hint="eastAsia"/>
                <w:b w:val="0"/>
                <w:bCs w:val="0"/>
                <w:sz w:val="21"/>
                <w:szCs w:val="21"/>
                <w:lang w:val="en-US" w:eastAsia="zh-CN"/>
              </w:rPr>
              <w:t>现场审核发现未能提供对外包方施加了环境方面影响的证据，已开具不符合报告，要求限期整改。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val="0"/>
                <w:bCs w:val="0"/>
                <w:sz w:val="21"/>
                <w:szCs w:val="21"/>
                <w:lang w:val="en-GB"/>
              </w:rPr>
              <w:t>编制</w:t>
            </w:r>
            <w:r>
              <w:rPr>
                <w:rFonts w:hint="eastAsia"/>
                <w:sz w:val="21"/>
                <w:szCs w:val="21"/>
              </w:rPr>
              <w:t>环境因素和危险源识别评价与控制程序</w:t>
            </w:r>
            <w:r>
              <w:rPr>
                <w:rFonts w:hint="eastAsia"/>
                <w:b w:val="0"/>
                <w:bCs w:val="0"/>
                <w:sz w:val="21"/>
                <w:szCs w:val="21"/>
                <w:lang w:eastAsia="zh-CN"/>
              </w:rPr>
              <w:t>、</w:t>
            </w:r>
            <w:r>
              <w:rPr>
                <w:rFonts w:hint="eastAsia"/>
                <w:sz w:val="21"/>
                <w:szCs w:val="21"/>
              </w:rPr>
              <w:t>运行控制程序</w:t>
            </w:r>
            <w:r>
              <w:rPr>
                <w:rFonts w:hint="eastAsia" w:ascii="宋体" w:hAnsi="宋体" w:cs="宋体"/>
                <w:b w:val="0"/>
                <w:bCs w:val="0"/>
                <w:color w:val="000000"/>
                <w:szCs w:val="21"/>
                <w:lang w:val="zh-CN"/>
              </w:rPr>
              <w:t>、</w:t>
            </w:r>
            <w:r>
              <w:rPr>
                <w:rFonts w:hint="eastAsia"/>
                <w:b w:val="0"/>
                <w:bCs w:val="0"/>
                <w:sz w:val="21"/>
                <w:szCs w:val="21"/>
                <w:lang w:val="en-GB"/>
              </w:rPr>
              <w:t>对相关方施加影响控制程序、办公室安全管理制度等，针对各部门所负责的工作，对危险源进行控制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车辆</w:t>
            </w:r>
            <w:r>
              <w:rPr>
                <w:rFonts w:hint="eastAsia"/>
                <w:b w:val="0"/>
                <w:bCs w:val="0"/>
                <w:sz w:val="21"/>
                <w:szCs w:val="21"/>
                <w:lang w:val="en-GB"/>
              </w:rPr>
              <w:t>伤害</w:t>
            </w:r>
            <w:r>
              <w:rPr>
                <w:rFonts w:hint="eastAsia"/>
                <w:b w:val="0"/>
                <w:bCs w:val="0"/>
                <w:sz w:val="21"/>
                <w:szCs w:val="21"/>
              </w:rPr>
              <w:t>、相关方施加影响等进行控制，具体措施有对员工进行安全教育，发放劳保用品，对相关方进行告知，现场查看办公区域干净整洁，配置灭火器等消防设施</w:t>
            </w:r>
            <w:r>
              <w:rPr>
                <w:rFonts w:hint="eastAsia"/>
                <w:b w:val="0"/>
                <w:bCs w:val="0"/>
                <w:sz w:val="21"/>
                <w:szCs w:val="21"/>
                <w:lang w:eastAsia="zh-CN"/>
              </w:rPr>
              <w:t>。</w:t>
            </w:r>
            <w:r>
              <w:rPr>
                <w:rFonts w:hint="eastAsia"/>
                <w:b w:val="0"/>
                <w:bCs w:val="0"/>
                <w:sz w:val="21"/>
                <w:szCs w:val="21"/>
                <w:lang w:val="en-US" w:eastAsia="zh-CN"/>
              </w:rPr>
              <w:t>但未能提供对外包方施加了职业健康安全方面影响的证据，已开具不符合报告，要求限期整改。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2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pacing w:val="-4"/>
                <w:sz w:val="20"/>
                <w:szCs w:val="20"/>
              </w:rPr>
            </w:pPr>
            <w:r>
              <w:rPr>
                <w:rFonts w:hint="eastAsia" w:ascii="宋体" w:hAnsi="宋体"/>
                <w:bCs/>
                <w:color w:val="auto"/>
                <w:sz w:val="21"/>
                <w:szCs w:val="21"/>
                <w:u w:val="none" w:color="auto"/>
                <w:lang w:eastAsia="zh-CN"/>
              </w:rPr>
              <w:t>编制应急准备和响应控制程序，识别的潜在意外紧急情况为火灾、触电等。编制了应急预案—包括火灾、触电应急预案，经查问办公室组织了应急演练，提供了应急预案演练记录。经查符合标准要求。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1"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2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提供了文件化可分解的目标、指标，经查问分解到各部门，经查阅建立的管理目标符合标准要求，在方针的框架下展开，每季度考核一次，查看201</w:t>
            </w:r>
            <w:r>
              <w:rPr>
                <w:rFonts w:hint="eastAsia"/>
                <w:sz w:val="21"/>
                <w:szCs w:val="21"/>
                <w:lang w:val="en-US" w:eastAsia="zh-CN"/>
              </w:rPr>
              <w:t>9</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2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提供顾客满意调查分析。最终顾客满意率100%</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sz w:val="21"/>
                <w:szCs w:val="21"/>
              </w:rPr>
              <w:t>按照策划的安排于</w:t>
            </w:r>
            <w:r>
              <w:t>201</w:t>
            </w:r>
            <w:r>
              <w:rPr>
                <w:rFonts w:hint="eastAsia"/>
                <w:lang w:val="en-US" w:eastAsia="zh-CN"/>
              </w:rPr>
              <w:t>9年8月1日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8"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sz w:val="21"/>
                <w:szCs w:val="21"/>
              </w:rPr>
              <w:t>按照策划的安排于</w:t>
            </w:r>
            <w:r>
              <w:t>2019</w:t>
            </w:r>
            <w:r>
              <w:rPr>
                <w:rFonts w:hint="eastAsia" w:cs="宋体"/>
              </w:rPr>
              <w:t>年</w:t>
            </w:r>
            <w:r>
              <w:rPr>
                <w:rFonts w:hint="eastAsia"/>
                <w:lang w:val="en-US" w:eastAsia="zh-CN"/>
              </w:rPr>
              <w:t>8</w:t>
            </w:r>
            <w:r>
              <w:rPr>
                <w:rFonts w:hint="eastAsia" w:cs="宋体"/>
              </w:rPr>
              <w:t>月</w:t>
            </w:r>
            <w:r>
              <w:rPr>
                <w:rFonts w:hint="eastAsia"/>
                <w:lang w:val="en-US" w:eastAsia="zh-CN"/>
              </w:rPr>
              <w:t>7</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keepNext w:val="0"/>
              <w:keepLines w:val="0"/>
              <w:pageBreakBefore w:val="0"/>
              <w:numPr>
                <w:ilvl w:val="0"/>
                <w:numId w:val="6"/>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val="0"/>
                <w:bCs/>
                <w:color w:val="000000" w:themeColor="text1"/>
                <w:sz w:val="21"/>
                <w:szCs w:val="21"/>
                <w:lang w:val="en-US" w:eastAsia="zh-CN"/>
              </w:rPr>
              <w:t>对员工进行了体检，显示合格。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000000" w:themeColor="text1"/>
                <w:spacing w:val="-20"/>
                <w:sz w:val="20"/>
                <w:szCs w:val="20"/>
                <w:lang w:val="en-US" w:eastAsia="zh-CN"/>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已整改，整改后符合要求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积极开展新测试方法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业务部Q8.4.1E8.1S8.1.4.3条款</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37" w:leftChars="-337" w:hanging="571" w:hangingChars="271"/>
        <w:rPr>
          <w:rFonts w:hint="eastAsia" w:ascii="宋体" w:hAnsi="宋体"/>
          <w:b/>
          <w:color w:val="000000" w:themeColor="text1"/>
          <w:szCs w:val="21"/>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0" w:leftChars="105" w:firstLine="0" w:firstLineChars="0"/>
              <w:rPr>
                <w:rFonts w:hint="eastAsia" w:eastAsia="宋体"/>
                <w:b/>
                <w:color w:val="000000" w:themeColor="text1"/>
                <w:sz w:val="22"/>
                <w:szCs w:val="22"/>
                <w:lang w:eastAsia="zh-CN"/>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河北桑莱特检测技术服务有限公司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7"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ascii="宋体" w:eastAsia="宋体"/>
                <w:b/>
                <w:color w:val="000000"/>
                <w:sz w:val="21"/>
                <w:szCs w:val="21"/>
                <w:lang w:eastAsia="zh-CN"/>
              </w:rPr>
            </w:pPr>
            <w:r>
              <w:rPr>
                <w:rFonts w:ascii="宋体" w:hAnsi="宋体"/>
                <w:b/>
                <w:sz w:val="21"/>
                <w:szCs w:val="21"/>
              </w:rPr>
              <w:t>QMS</w:t>
            </w:r>
            <w:r>
              <w:rPr>
                <w:rFonts w:hint="eastAsia" w:ascii="宋体" w:hAnsi="宋体"/>
                <w:b/>
                <w:sz w:val="21"/>
                <w:szCs w:val="21"/>
              </w:rPr>
              <w:t>:</w:t>
            </w:r>
            <w:r>
              <w:rPr>
                <w:rFonts w:ascii="宋体" w:hAnsi="宋体"/>
                <w:sz w:val="21"/>
                <w:szCs w:val="21"/>
              </w:rPr>
              <w:t xml:space="preserve"> </w:t>
            </w:r>
            <w:r>
              <w:rPr>
                <w:rFonts w:hint="eastAsia"/>
                <w:color w:val="000000"/>
                <w:sz w:val="21"/>
                <w:szCs w:val="21"/>
                <w:lang w:eastAsia="zh-CN"/>
              </w:rPr>
              <w:t>资质范围内的检测技术服务（光伏发电站的检测及服务）</w:t>
            </w:r>
          </w:p>
          <w:p>
            <w:pPr>
              <w:rPr>
                <w:rFonts w:ascii="宋体" w:hAnsi="宋体"/>
                <w:color w:val="000000"/>
                <w:sz w:val="21"/>
                <w:szCs w:val="21"/>
              </w:rPr>
            </w:pPr>
            <w:r>
              <w:rPr>
                <w:rFonts w:ascii="宋体" w:hAnsi="宋体"/>
                <w:b/>
                <w:color w:val="000000"/>
                <w:sz w:val="21"/>
                <w:szCs w:val="21"/>
              </w:rPr>
              <w:t>EMS:</w:t>
            </w:r>
            <w:r>
              <w:rPr>
                <w:color w:val="000000"/>
                <w:sz w:val="21"/>
                <w:szCs w:val="21"/>
              </w:rPr>
              <w:t xml:space="preserve"> </w:t>
            </w:r>
            <w:r>
              <w:rPr>
                <w:rFonts w:hint="eastAsia"/>
                <w:color w:val="000000"/>
                <w:sz w:val="21"/>
                <w:szCs w:val="21"/>
                <w:lang w:eastAsia="zh-CN"/>
              </w:rPr>
              <w:t>资质范围内的检测技术服务（光伏发电站的检测及服务）</w:t>
            </w:r>
            <w:r>
              <w:rPr>
                <w:rFonts w:hint="eastAsia"/>
                <w:color w:val="000000"/>
                <w:sz w:val="21"/>
                <w:szCs w:val="21"/>
              </w:rPr>
              <w:t>及相关环境管理活动</w:t>
            </w:r>
          </w:p>
          <w:p>
            <w:pPr>
              <w:rPr>
                <w:rFonts w:hint="eastAsia"/>
                <w:b/>
                <w:color w:val="000000" w:themeColor="text1"/>
              </w:rPr>
            </w:pPr>
            <w:r>
              <w:rPr>
                <w:rFonts w:ascii="宋体" w:hAnsi="宋体"/>
                <w:b/>
                <w:color w:val="000000"/>
                <w:sz w:val="21"/>
                <w:szCs w:val="21"/>
              </w:rPr>
              <w:t>OHSMS:</w:t>
            </w:r>
            <w:r>
              <w:rPr>
                <w:rFonts w:ascii="宋体" w:hAnsi="宋体"/>
                <w:color w:val="000000"/>
                <w:sz w:val="21"/>
                <w:szCs w:val="21"/>
              </w:rPr>
              <w:t xml:space="preserve"> </w:t>
            </w:r>
            <w:r>
              <w:rPr>
                <w:rFonts w:hint="eastAsia"/>
                <w:color w:val="000000"/>
                <w:sz w:val="21"/>
                <w:szCs w:val="21"/>
                <w:lang w:eastAsia="zh-CN"/>
              </w:rPr>
              <w:t>资质范围内的检测技术服务（光伏发电站的检测及服务）</w:t>
            </w:r>
            <w:r>
              <w:rPr>
                <w:rFonts w:hint="eastAsia"/>
                <w:color w:val="000000"/>
                <w:sz w:val="21"/>
                <w:szCs w:val="21"/>
              </w:rPr>
              <w:t>及相关职业健康安全管理活动</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8"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Lines="50"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审核组组长（签名）：</w:t>
      </w:r>
      <w:r>
        <w:rPr>
          <w:rFonts w:hint="eastAsia"/>
          <w:b/>
          <w:color w:val="000000" w:themeColor="text1"/>
          <w:sz w:val="26"/>
          <w:szCs w:val="26"/>
          <w:lang w:val="en-US" w:eastAsia="zh-CN"/>
        </w:rPr>
        <w:t>吉洁</w:t>
      </w:r>
    </w:p>
    <w:p>
      <w:pPr>
        <w:snapToGrid w:val="0"/>
        <w:spacing w:beforeLines="50" w:line="360" w:lineRule="auto"/>
        <w:rPr>
          <w:b/>
          <w:color w:val="000000" w:themeColor="text1"/>
        </w:rPr>
      </w:pPr>
    </w:p>
    <w:p>
      <w:pPr>
        <w:snapToGrid w:val="0"/>
        <w:spacing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朱晓丽</w:t>
      </w:r>
    </w:p>
    <w:p>
      <w:pPr>
        <w:snapToGrid w:val="0"/>
        <w:spacing w:line="360" w:lineRule="auto"/>
        <w:ind w:firstLine="4975" w:firstLineChars="23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2019</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8</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21</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吉洁</w:t>
      </w:r>
      <w:r>
        <w:rPr>
          <w:rFonts w:hint="eastAsia"/>
          <w:b/>
          <w:color w:val="000000" w:themeColor="text1"/>
          <w:szCs w:val="21"/>
        </w:rPr>
        <w:t xml:space="preserve">                             日期:</w:t>
      </w:r>
      <w:r>
        <w:rPr>
          <w:rFonts w:hint="eastAsia"/>
          <w:b/>
          <w:color w:val="000000" w:themeColor="text1"/>
          <w:szCs w:val="21"/>
          <w:lang w:val="en-US" w:eastAsia="zh-CN"/>
        </w:rPr>
        <w:t xml:space="preserve">   2019</w:t>
      </w:r>
      <w:r>
        <w:rPr>
          <w:rFonts w:hint="eastAsia"/>
          <w:b/>
          <w:color w:val="000000" w:themeColor="text1"/>
          <w:szCs w:val="21"/>
        </w:rPr>
        <w:t>年</w:t>
      </w:r>
      <w:r>
        <w:rPr>
          <w:rFonts w:hint="eastAsia"/>
          <w:b/>
          <w:color w:val="000000" w:themeColor="text1"/>
          <w:szCs w:val="21"/>
          <w:lang w:val="en-US" w:eastAsia="zh-CN"/>
        </w:rPr>
        <w:t xml:space="preserve">   8</w:t>
      </w:r>
      <w:r>
        <w:rPr>
          <w:rFonts w:hint="eastAsia"/>
          <w:b/>
          <w:color w:val="000000" w:themeColor="text1"/>
          <w:szCs w:val="21"/>
        </w:rPr>
        <w:t>月</w:t>
      </w:r>
      <w:r>
        <w:rPr>
          <w:rFonts w:hint="eastAsia"/>
          <w:b/>
          <w:color w:val="000000" w:themeColor="text1"/>
          <w:szCs w:val="21"/>
          <w:lang w:val="en-US" w:eastAsia="zh-CN"/>
        </w:rPr>
        <w:t xml:space="preserve">  22 </w:t>
      </w:r>
      <w:r>
        <w:rPr>
          <w:rFonts w:hint="eastAsia"/>
          <w:b/>
          <w:color w:val="000000" w:themeColor="text1"/>
          <w:szCs w:val="21"/>
        </w:rPr>
        <w:t>日</w:t>
      </w:r>
    </w:p>
    <w:p>
      <w:pPr>
        <w:spacing w:line="360" w:lineRule="auto"/>
        <w:ind w:leftChars="-405" w:hanging="850" w:hangingChars="403"/>
        <w:rPr>
          <w:rFonts w:hint="eastAsia"/>
          <w:b/>
          <w:color w:val="000000" w:themeColor="text1"/>
        </w:rPr>
      </w:pPr>
    </w:p>
    <w:p>
      <w:pPr>
        <w:snapToGrid w:val="0"/>
        <w:spacing w:line="360" w:lineRule="auto"/>
        <w:ind w:left="202" w:leftChars="-405" w:hanging="1052" w:hangingChars="403"/>
        <w:rPr>
          <w:rFonts w:hint="eastAsia"/>
          <w:b/>
          <w:color w:val="000000" w:themeColor="text1"/>
          <w:sz w:val="26"/>
          <w:szCs w:val="26"/>
        </w:rPr>
      </w:pPr>
      <w:r>
        <w:rPr>
          <w:rFonts w:hint="eastAsia"/>
          <w:b/>
          <w:color w:val="000000" w:themeColor="text1"/>
          <w:sz w:val="26"/>
          <w:szCs w:val="26"/>
        </w:rPr>
        <w:t>十六、</w:t>
      </w:r>
      <w:r>
        <w:rPr>
          <w:rFonts w:hint="eastAsia"/>
          <w:b/>
          <w:color w:val="000000" w:themeColor="text1"/>
          <w:sz w:val="26"/>
          <w:szCs w:val="26"/>
        </w:rPr>
        <w:t>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w w:val="115"/>
        </w:rPr>
      </w:pPr>
      <w:r>
        <w:rPr>
          <w:rFonts w:hint="eastAsia"/>
          <w:b/>
          <w:bCs/>
          <w:color w:val="000000" w:themeColor="text1"/>
          <w:szCs w:val="21"/>
        </w:rPr>
        <w:t xml:space="preserve">5. 对子证书/证书附件要求的组织，除在末次会议上确定注册范围外，还须附上子证书/证书附件的文字表达。(可另附页)  </w:t>
      </w:r>
      <w:bookmarkStart w:id="7" w:name="_GoBack"/>
      <w:bookmarkEnd w:id="7"/>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6"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6"/>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8"/>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18D77FE3"/>
    <w:rsid w:val="1C440198"/>
    <w:rsid w:val="21611269"/>
    <w:rsid w:val="229447B7"/>
    <w:rsid w:val="22DF6A1C"/>
    <w:rsid w:val="262038F9"/>
    <w:rsid w:val="36CF437D"/>
    <w:rsid w:val="3AFE3AFE"/>
    <w:rsid w:val="3C6210A8"/>
    <w:rsid w:val="3F9B4A9B"/>
    <w:rsid w:val="4B4A3A22"/>
    <w:rsid w:val="57A97EAC"/>
    <w:rsid w:val="5CDD1C2D"/>
    <w:rsid w:val="63AC66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9"/>
        <o:r id="V:Rule2" type="connector" idref="#_x0000_s10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766</Words>
  <Characters>4371</Characters>
  <Lines>36</Lines>
  <Paragraphs>10</Paragraphs>
  <TotalTime>3</TotalTime>
  <ScaleCrop>false</ScaleCrop>
  <LinksUpToDate>false</LinksUpToDate>
  <CharactersWithSpaces>5127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2019-06-15T02:36:00Z</cp:lastPrinted>
  <dcterms:modified xsi:type="dcterms:W3CDTF">2019-08-21T02:36:49Z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