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德阳市海昌机械设备制造有限公司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91510600742251001J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德阳市海昌机械设备制造有限公司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机械（造纸、冶金）配件加工及售后服务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德阳市海昌机械设备制造有限公司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四川省德阳市天元开发区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机械（造纸、冶金）配件加工及售后服务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