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博林中凯（北京）科技有限公司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18511522226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数据处理（数据处理中的银行卡中心、PUE值在1.4以上的云计算数据中心除外）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33.03.01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2020年06月19日 下午至2020年06月19日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33.03.01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