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江西广泉钢艺集团有限公司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2017-N1QMS-1219448</w:t>
            </w:r>
          </w:p>
        </w:tc>
        <w:tc>
          <w:tcPr>
            <w:tcW w:w="1728" w:type="dxa"/>
            <w:gridSpan w:val="2"/>
            <w:vAlign w:val="center"/>
          </w:tcPr>
          <w:p>
            <w:pPr>
              <w:jc w:val="center"/>
              <w:rPr>
                <w:b/>
                <w:sz w:val="21"/>
                <w:szCs w:val="21"/>
              </w:rPr>
            </w:pPr>
            <w:r>
              <w:rPr>
                <w:b/>
                <w:sz w:val="21"/>
                <w:szCs w:val="21"/>
              </w:rPr>
              <w:t>17.06.01</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无</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000000" w:themeColor="text1"/>
                <w:sz w:val="21"/>
              </w:rPr>
              <w:t>江西广泉钢艺集团有限公司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江西省樟树市城北工业园</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331200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江西省樟树市城北工业园</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江西省樟树市城北工业园</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331200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姜建平</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0795-7813666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彭志龙</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彭志龙</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彭苏敏</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2020年06月22日 上午至2020年06月22日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bookmarkStart w:id="26" w:name="审核范围"/>
            <w:r>
              <w:rPr>
                <w:sz w:val="20"/>
              </w:rPr>
              <w:t>骨灰存放架（福寿架）的生产</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17.06.01</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2022年9月23日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2019年8月16-19日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b/>
                <w:sz w:val="21"/>
                <w:szCs w:val="21"/>
              </w:rPr>
            </w:pPr>
            <w:r>
              <w:rPr>
                <w:rFonts w:ascii="宋体" w:hAnsi="宋体"/>
                <w:b/>
                <w:sz w:val="21"/>
                <w:szCs w:val="21"/>
              </w:rPr>
              <w:t>1</w:t>
            </w:r>
            <w:r>
              <w:rPr>
                <w:rFonts w:hint="eastAsia" w:ascii="宋体" w:hAnsi="宋体"/>
                <w:b/>
                <w:sz w:val="21"/>
                <w:szCs w:val="21"/>
              </w:rPr>
              <w:t>、组织及其环境的识别情况</w:t>
            </w:r>
          </w:p>
          <w:p>
            <w:pPr>
              <w:ind w:firstLine="420" w:firstLineChars="200"/>
              <w:rPr>
                <w:sz w:val="21"/>
                <w:szCs w:val="21"/>
              </w:rPr>
            </w:pPr>
            <w:r>
              <w:rPr>
                <w:rFonts w:hint="eastAsia"/>
                <w:sz w:val="21"/>
                <w:szCs w:val="21"/>
              </w:rPr>
              <w:t>企业主要经营</w:t>
            </w:r>
            <w:r>
              <w:rPr>
                <w:sz w:val="20"/>
              </w:rPr>
              <w:t>骨灰存放架（福寿架）的生产</w:t>
            </w:r>
            <w:r>
              <w:rPr>
                <w:rFonts w:hint="eastAsia"/>
                <w:sz w:val="21"/>
                <w:szCs w:val="21"/>
              </w:rPr>
              <w:t>。企业主要客户为地方民政部门和个人客户，目前市场主要在全国范围。企业负责人介绍说：行业门槛低，价格透明，竞争激烈。</w:t>
            </w:r>
          </w:p>
          <w:p>
            <w:pPr>
              <w:ind w:firstLine="420" w:firstLineChars="200"/>
              <w:rPr>
                <w:sz w:val="21"/>
                <w:szCs w:val="21"/>
              </w:rPr>
            </w:pPr>
            <w:r>
              <w:rPr>
                <w:rFonts w:hint="eastAsia"/>
                <w:sz w:val="21"/>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rPr>
                <w:sz w:val="21"/>
                <w:szCs w:val="21"/>
              </w:rPr>
            </w:pPr>
            <w:r>
              <w:rPr>
                <w:rFonts w:hint="eastAsia"/>
                <w:sz w:val="21"/>
                <w:szCs w:val="21"/>
              </w:rPr>
              <w:t>对组织内外部环境进行了识别</w:t>
            </w:r>
          </w:p>
          <w:p>
            <w:pPr>
              <w:rPr>
                <w:sz w:val="21"/>
                <w:szCs w:val="21"/>
              </w:rPr>
            </w:pPr>
            <w:r>
              <w:rPr>
                <w:rFonts w:hint="eastAsia"/>
                <w:sz w:val="21"/>
                <w:szCs w:val="21"/>
              </w:rPr>
              <w:t>外部环境：政治、法律、社会文化等。</w:t>
            </w:r>
          </w:p>
          <w:p>
            <w:pPr>
              <w:rPr>
                <w:sz w:val="21"/>
                <w:szCs w:val="21"/>
              </w:rPr>
            </w:pPr>
            <w:r>
              <w:rPr>
                <w:rFonts w:hint="eastAsia"/>
                <w:sz w:val="21"/>
                <w:szCs w:val="21"/>
              </w:rPr>
              <w:t>内部环境：本公司的价值观、文化、知识、</w:t>
            </w:r>
            <w:r>
              <w:rPr>
                <w:sz w:val="21"/>
                <w:szCs w:val="21"/>
              </w:rPr>
              <w:t xml:space="preserve"> </w:t>
            </w:r>
            <w:r>
              <w:rPr>
                <w:rFonts w:hint="eastAsia"/>
                <w:sz w:val="21"/>
                <w:szCs w:val="21"/>
              </w:rPr>
              <w:t>经营规划的决策程序、部门设置和职能分配、资源因素、经营绩效、财务状况、人力因素包括新的专业知识更新和技能的提升等。</w:t>
            </w:r>
          </w:p>
          <w:p>
            <w:pPr>
              <w:rPr>
                <w:rFonts w:ascii="宋体"/>
                <w:b/>
                <w:sz w:val="21"/>
                <w:szCs w:val="21"/>
              </w:rPr>
            </w:pPr>
            <w:r>
              <w:rPr>
                <w:rFonts w:hint="eastAsia"/>
                <w:sz w:val="21"/>
                <w:szCs w:val="21"/>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p>
          <w:p>
            <w:pPr>
              <w:ind w:firstLine="420" w:firstLineChars="200"/>
              <w:rPr>
                <w:sz w:val="21"/>
                <w:szCs w:val="21"/>
              </w:rPr>
            </w:pPr>
            <w:r>
              <w:rPr>
                <w:rFonts w:hint="eastAsia"/>
                <w:sz w:val="21"/>
                <w:szCs w:val="21"/>
              </w:rPr>
              <w:t>公司识别并确定了影响公司提供产品和服务能力的利益相关方：顾客、外部供应商、员工及其他为本公司工作的人员或组织等。</w:t>
            </w:r>
          </w:p>
          <w:p>
            <w:pPr>
              <w:ind w:firstLine="420" w:firstLineChars="200"/>
              <w:rPr>
                <w:sz w:val="21"/>
                <w:szCs w:val="21"/>
              </w:rPr>
            </w:pPr>
            <w:r>
              <w:rPr>
                <w:rFonts w:hint="eastAsia"/>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ind w:firstLine="420" w:firstLineChars="200"/>
              <w:rPr>
                <w:sz w:val="21"/>
                <w:szCs w:val="21"/>
              </w:rPr>
            </w:pPr>
            <w:r>
              <w:rPr>
                <w:rFonts w:hint="eastAsia"/>
                <w:sz w:val="21"/>
                <w:szCs w:val="21"/>
              </w:rPr>
              <w:t>相关方进行监视和评审的方式方法：公司通过走访、会议、上级文件、标准和规范的获取等方式对相关方的信息进行监视和评审。</w:t>
            </w:r>
          </w:p>
          <w:p>
            <w:pPr>
              <w:ind w:firstLine="420" w:firstLineChars="200"/>
              <w:rPr>
                <w:sz w:val="21"/>
                <w:szCs w:val="21"/>
              </w:rPr>
            </w:pPr>
            <w:r>
              <w:rPr>
                <w:rFonts w:hint="eastAsia"/>
                <w:sz w:val="21"/>
                <w:szCs w:val="21"/>
              </w:rPr>
              <w:t>相关方的需求和期望主要表现如下：</w:t>
            </w:r>
          </w:p>
          <w:p>
            <w:pPr>
              <w:rPr>
                <w:sz w:val="21"/>
                <w:szCs w:val="21"/>
              </w:rPr>
            </w:pPr>
            <w:r>
              <w:rPr>
                <w:rFonts w:hint="eastAsia"/>
                <w:sz w:val="21"/>
                <w:szCs w:val="21"/>
              </w:rPr>
              <w:t>顾客：产品质量符合要求，及时交货，物料材质环保、售后服务等</w:t>
            </w:r>
          </w:p>
          <w:p>
            <w:pPr>
              <w:rPr>
                <w:sz w:val="21"/>
                <w:szCs w:val="21"/>
              </w:rPr>
            </w:pPr>
            <w:r>
              <w:rPr>
                <w:rFonts w:hint="eastAsia"/>
                <w:sz w:val="21"/>
                <w:szCs w:val="21"/>
              </w:rPr>
              <w:t>供方：回款及时、物料、设备质量、环保、安全等</w:t>
            </w:r>
          </w:p>
          <w:p>
            <w:pPr>
              <w:rPr>
                <w:sz w:val="21"/>
                <w:szCs w:val="21"/>
              </w:rPr>
            </w:pPr>
            <w:r>
              <w:rPr>
                <w:rFonts w:hint="eastAsia"/>
                <w:sz w:val="21"/>
                <w:szCs w:val="21"/>
              </w:rPr>
              <w:t>上级主管部门：经营中遵纪守法、无安全事故，不经销假冒产品</w:t>
            </w:r>
          </w:p>
          <w:p>
            <w:pPr>
              <w:rPr>
                <w:sz w:val="21"/>
                <w:szCs w:val="21"/>
              </w:rPr>
            </w:pPr>
            <w:r>
              <w:rPr>
                <w:rFonts w:hint="eastAsia"/>
                <w:sz w:val="21"/>
                <w:szCs w:val="21"/>
              </w:rPr>
              <w:t>员工：薪资福利、工作环境、安全保障等</w:t>
            </w:r>
          </w:p>
          <w:p>
            <w:pPr>
              <w:ind w:firstLine="420" w:firstLineChars="200"/>
              <w:rPr>
                <w:rFonts w:ascii="宋体"/>
                <w:b/>
                <w:sz w:val="21"/>
                <w:szCs w:val="21"/>
              </w:rPr>
            </w:pPr>
            <w:r>
              <w:rPr>
                <w:rFonts w:hint="eastAsia"/>
                <w:sz w:val="21"/>
                <w:szCs w:val="21"/>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sz w:val="21"/>
                <w:szCs w:val="21"/>
              </w:rPr>
            </w:pPr>
            <w:r>
              <w:rPr>
                <w:rFonts w:ascii="宋体" w:hAnsi="宋体"/>
                <w:b/>
                <w:sz w:val="21"/>
                <w:szCs w:val="21"/>
              </w:rPr>
              <w:t>3.</w:t>
            </w:r>
            <w:r>
              <w:rPr>
                <w:b/>
                <w:sz w:val="21"/>
                <w:szCs w:val="21"/>
              </w:rPr>
              <w:t xml:space="preserve"> </w:t>
            </w:r>
            <w:r>
              <w:rPr>
                <w:rFonts w:hint="eastAsia"/>
                <w:b/>
                <w:sz w:val="21"/>
                <w:szCs w:val="21"/>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sz w:val="21"/>
                <w:szCs w:val="21"/>
              </w:rPr>
              <w:t>企业策划并制定了质量方针：</w:t>
            </w:r>
          </w:p>
          <w:p>
            <w:pPr>
              <w:spacing w:line="480" w:lineRule="exact"/>
              <w:ind w:firstLine="525" w:firstLineChars="250"/>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 xml:space="preserve">质量至上    持续创新    诚实守信  客户至上 </w:t>
            </w:r>
          </w:p>
          <w:p>
            <w:pPr>
              <w:rPr>
                <w:sz w:val="21"/>
                <w:szCs w:val="21"/>
              </w:rPr>
            </w:pPr>
            <w:r>
              <w:rPr>
                <w:rFonts w:hint="eastAsia"/>
                <w:sz w:val="21"/>
                <w:szCs w:val="21"/>
              </w:rPr>
              <w:t>方针在质量手册中予以规定，经总经理批准实施。</w:t>
            </w:r>
          </w:p>
          <w:p>
            <w:pPr>
              <w:spacing w:line="280" w:lineRule="exact"/>
              <w:rPr>
                <w:rFonts w:ascii="宋体"/>
                <w:b/>
                <w:sz w:val="21"/>
                <w:szCs w:val="21"/>
              </w:rPr>
            </w:pPr>
            <w:r>
              <w:rPr>
                <w:rFonts w:hint="eastAsia"/>
                <w:sz w:val="21"/>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280" w:lineRule="exact"/>
              <w:rPr>
                <w:rFonts w:ascii="宋体"/>
                <w:b/>
                <w:sz w:val="21"/>
                <w:szCs w:val="21"/>
              </w:rPr>
            </w:pPr>
            <w:r>
              <w:rPr>
                <w:rFonts w:ascii="宋体" w:hAnsi="宋体"/>
                <w:b/>
                <w:sz w:val="21"/>
                <w:szCs w:val="21"/>
              </w:rPr>
              <w:t>4</w:t>
            </w:r>
            <w:r>
              <w:rPr>
                <w:rFonts w:hint="eastAsia" w:ascii="宋体" w:hAnsi="宋体"/>
                <w:b/>
                <w:sz w:val="21"/>
                <w:szCs w:val="21"/>
              </w:rPr>
              <w:t>、风险识别与控制策划</w:t>
            </w:r>
          </w:p>
          <w:p>
            <w:pPr>
              <w:ind w:firstLine="420" w:firstLineChars="200"/>
              <w:rPr>
                <w:sz w:val="21"/>
                <w:szCs w:val="21"/>
              </w:rPr>
            </w:pPr>
            <w:r>
              <w:rPr>
                <w:rFonts w:hint="eastAsia"/>
                <w:sz w:val="21"/>
                <w:szCs w:val="21"/>
              </w:rPr>
              <w:t>公司编制了《风险和机遇控制程序》，通过识别与评价对公司目标和战略方向相关影响其实现质量管理体系预期结果的各种内外部环境因素，有效应对风险和机遇。</w:t>
            </w:r>
            <w:r>
              <w:rPr>
                <w:sz w:val="21"/>
                <w:szCs w:val="21"/>
              </w:rPr>
              <w:t xml:space="preserve"> </w:t>
            </w:r>
          </w:p>
          <w:p>
            <w:pPr>
              <w:rPr>
                <w:sz w:val="21"/>
                <w:szCs w:val="21"/>
              </w:rPr>
            </w:pPr>
            <w:r>
              <w:rPr>
                <w:rFonts w:hint="eastAsia"/>
                <w:sz w:val="21"/>
                <w:szCs w:val="21"/>
              </w:rPr>
              <w:t>评估内容：机遇：</w:t>
            </w:r>
          </w:p>
          <w:p>
            <w:pPr>
              <w:rPr>
                <w:sz w:val="21"/>
                <w:szCs w:val="21"/>
              </w:rPr>
            </w:pPr>
            <w:r>
              <w:rPr>
                <w:sz w:val="21"/>
                <w:szCs w:val="21"/>
              </w:rPr>
              <w:t>1.</w:t>
            </w:r>
            <w:r>
              <w:rPr>
                <w:sz w:val="21"/>
                <w:szCs w:val="21"/>
              </w:rPr>
              <w:tab/>
            </w:r>
            <w:r>
              <w:rPr>
                <w:rFonts w:hint="eastAsia"/>
                <w:sz w:val="21"/>
                <w:szCs w:val="21"/>
              </w:rPr>
              <w:t>工艺成熟，质量稳定，满足客户需求；</w:t>
            </w:r>
          </w:p>
          <w:p>
            <w:pPr>
              <w:rPr>
                <w:sz w:val="21"/>
                <w:szCs w:val="21"/>
              </w:rPr>
            </w:pPr>
            <w:r>
              <w:rPr>
                <w:sz w:val="21"/>
                <w:szCs w:val="21"/>
              </w:rPr>
              <w:t>2.</w:t>
            </w:r>
            <w:r>
              <w:rPr>
                <w:sz w:val="21"/>
                <w:szCs w:val="21"/>
              </w:rPr>
              <w:tab/>
            </w:r>
            <w:r>
              <w:rPr>
                <w:rFonts w:hint="eastAsia"/>
                <w:sz w:val="21"/>
                <w:szCs w:val="21"/>
              </w:rPr>
              <w:t>人员稳定，对</w:t>
            </w:r>
            <w:r>
              <w:rPr>
                <w:sz w:val="21"/>
                <w:szCs w:val="21"/>
              </w:rPr>
              <w:t>ISO</w:t>
            </w:r>
            <w:r>
              <w:rPr>
                <w:rFonts w:hint="eastAsia"/>
                <w:sz w:val="21"/>
                <w:szCs w:val="21"/>
              </w:rPr>
              <w:t>体系管理要求的执行到位</w:t>
            </w:r>
          </w:p>
          <w:p>
            <w:pPr>
              <w:rPr>
                <w:sz w:val="21"/>
                <w:szCs w:val="21"/>
              </w:rPr>
            </w:pPr>
            <w:r>
              <w:rPr>
                <w:sz w:val="21"/>
                <w:szCs w:val="21"/>
              </w:rPr>
              <w:t>3</w:t>
            </w:r>
            <w:r>
              <w:rPr>
                <w:rFonts w:hint="eastAsia"/>
                <w:sz w:val="21"/>
                <w:szCs w:val="21"/>
              </w:rPr>
              <w:t>、有固定的客户</w:t>
            </w:r>
          </w:p>
          <w:p>
            <w:pPr>
              <w:rPr>
                <w:sz w:val="21"/>
                <w:szCs w:val="21"/>
              </w:rPr>
            </w:pPr>
            <w:r>
              <w:rPr>
                <w:rFonts w:hint="eastAsia"/>
                <w:sz w:val="21"/>
                <w:szCs w:val="21"/>
              </w:rPr>
              <w:t>风险：</w:t>
            </w:r>
          </w:p>
          <w:p>
            <w:pPr>
              <w:rPr>
                <w:sz w:val="21"/>
                <w:szCs w:val="21"/>
              </w:rPr>
            </w:pPr>
            <w:r>
              <w:rPr>
                <w:sz w:val="21"/>
                <w:szCs w:val="21"/>
              </w:rPr>
              <w:t>1.</w:t>
            </w:r>
            <w:r>
              <w:rPr>
                <w:rFonts w:hint="eastAsia"/>
                <w:sz w:val="21"/>
                <w:szCs w:val="21"/>
              </w:rPr>
              <w:t>仪器校验不准，导致质量控制结果不准确；</w:t>
            </w:r>
          </w:p>
          <w:p>
            <w:pPr>
              <w:rPr>
                <w:sz w:val="21"/>
                <w:szCs w:val="21"/>
              </w:rPr>
            </w:pPr>
            <w:r>
              <w:rPr>
                <w:sz w:val="21"/>
                <w:szCs w:val="21"/>
              </w:rPr>
              <w:t>2.</w:t>
            </w:r>
            <w:r>
              <w:rPr>
                <w:rFonts w:hint="eastAsia"/>
                <w:sz w:val="21"/>
                <w:szCs w:val="21"/>
              </w:rPr>
              <w:t>原材料到货不及时；</w:t>
            </w:r>
          </w:p>
          <w:p>
            <w:pPr>
              <w:rPr>
                <w:sz w:val="21"/>
                <w:szCs w:val="21"/>
              </w:rPr>
            </w:pPr>
            <w:r>
              <w:rPr>
                <w:rFonts w:hint="eastAsia"/>
                <w:sz w:val="21"/>
                <w:szCs w:val="21"/>
              </w:rPr>
              <w:t>针对质量风险与机遇，负责人组织人员对质量控制风险进行了识别、分析和评价。</w:t>
            </w:r>
            <w:r>
              <w:rPr>
                <w:sz w:val="21"/>
                <w:szCs w:val="21"/>
              </w:rPr>
              <w:t xml:space="preserve"> </w:t>
            </w:r>
          </w:p>
          <w:p>
            <w:pPr>
              <w:rPr>
                <w:sz w:val="21"/>
                <w:szCs w:val="21"/>
              </w:rPr>
            </w:pPr>
            <w:r>
              <w:rPr>
                <w:rFonts w:hint="eastAsia"/>
                <w:sz w:val="21"/>
                <w:szCs w:val="21"/>
              </w:rPr>
              <w:t>通过内审、管评、目标考核等来评价风险和机遇应对措施的有效性。</w:t>
            </w:r>
          </w:p>
          <w:p>
            <w:pPr>
              <w:rPr>
                <w:rFonts w:ascii="宋体"/>
                <w:b/>
                <w:sz w:val="21"/>
                <w:szCs w:val="21"/>
              </w:rPr>
            </w:pPr>
            <w:r>
              <w:rPr>
                <w:rFonts w:hint="eastAsia"/>
                <w:sz w:val="21"/>
                <w:szCs w:val="21"/>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ind w:firstLine="316" w:firstLineChars="150"/>
              <w:rPr>
                <w:rFonts w:hint="default" w:ascii="宋体" w:eastAsia="宋体"/>
                <w:b/>
                <w:sz w:val="21"/>
                <w:szCs w:val="21"/>
                <w:lang w:val="en-US" w:eastAsia="zh-CN"/>
              </w:rPr>
            </w:pPr>
            <w:r>
              <w:rPr>
                <w:rFonts w:hint="eastAsia" w:ascii="宋体" w:hAnsi="宋体"/>
                <w:b/>
                <w:sz w:val="21"/>
                <w:szCs w:val="21"/>
              </w:rPr>
              <w:t>质量管理体系过程有：</w:t>
            </w:r>
            <w:r>
              <w:rPr>
                <w:rFonts w:hint="eastAsia" w:asciiTheme="majorEastAsia" w:hAnsiTheme="majorEastAsia" w:eastAsiaTheme="majorEastAsia" w:cstheme="majorEastAsia"/>
                <w:color w:val="auto"/>
                <w:sz w:val="21"/>
                <w:szCs w:val="21"/>
              </w:rPr>
              <w:t>原材料采购</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进货检验</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下料工序</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冲压</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折弯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铣孔</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装配</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成品检验</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入库</w:t>
            </w:r>
          </w:p>
          <w:p>
            <w:pPr>
              <w:tabs>
                <w:tab w:val="left" w:pos="540"/>
              </w:tabs>
              <w:spacing w:line="300" w:lineRule="exact"/>
              <w:ind w:left="31680" w:hanging="211" w:hangingChars="100"/>
              <w:rPr>
                <w:rFonts w:hint="eastAsia" w:ascii="宋体" w:eastAsia="宋体"/>
                <w:b/>
                <w:sz w:val="21"/>
                <w:szCs w:val="21"/>
                <w:lang w:val="en-US" w:eastAsia="zh-CN"/>
              </w:rPr>
            </w:pPr>
            <w:r>
              <w:rPr>
                <w:rFonts w:hint="eastAsia" w:ascii="宋体" w:hAnsi="宋体"/>
                <w:b/>
                <w:sz w:val="21"/>
                <w:szCs w:val="21"/>
              </w:rPr>
              <w:t>其中关键过程有：</w:t>
            </w:r>
          </w:p>
          <w:p>
            <w:pPr>
              <w:tabs>
                <w:tab w:val="left" w:pos="540"/>
              </w:tabs>
              <w:spacing w:line="300" w:lineRule="exact"/>
              <w:ind w:left="31680" w:hanging="211" w:hangingChars="100"/>
              <w:rPr>
                <w:rFonts w:hint="eastAsia" w:asci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val="en-US" w:eastAsia="zh-CN"/>
              </w:rPr>
              <w:t>无</w:t>
            </w:r>
          </w:p>
          <w:p>
            <w:pPr>
              <w:tabs>
                <w:tab w:val="left" w:pos="540"/>
              </w:tabs>
              <w:spacing w:line="300" w:lineRule="exact"/>
              <w:ind w:left="31680" w:hanging="240" w:hangingChars="100"/>
              <w:rPr>
                <w:rFonts w:hint="eastAsia" w:ascii="宋体" w:eastAsia="宋体"/>
                <w:b/>
                <w:sz w:val="18"/>
                <w:szCs w:val="18"/>
                <w:u w:val="single"/>
                <w:lang w:val="en-US" w:eastAsia="zh-CN"/>
              </w:rPr>
            </w:pPr>
            <w: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无。</w:t>
            </w:r>
            <w:r>
              <w:rPr>
                <w:rFonts w:hint="eastAsia" w:ascii="宋体" w:hAnsi="宋体"/>
                <w:b/>
                <w:sz w:val="21"/>
                <w:szCs w:val="21"/>
              </w:rPr>
              <w:t>删减理由：</w:t>
            </w:r>
            <w:r>
              <w:rPr>
                <w:rFonts w:hint="eastAsia" w:ascii="宋体" w:hAnsi="宋体"/>
                <w:b/>
                <w:sz w:val="21"/>
                <w:szCs w:val="21"/>
                <w:lang w:val="en-US" w:eastAsia="zh-CN"/>
              </w:rPr>
              <w:t>无</w:t>
            </w:r>
          </w:p>
          <w:p>
            <w:pPr>
              <w:tabs>
                <w:tab w:val="left" w:pos="540"/>
              </w:tabs>
              <w:spacing w:line="300" w:lineRule="exact"/>
              <w:ind w:left="31680" w:hanging="211" w:hangingChars="100"/>
              <w:rPr>
                <w:rFonts w:ascii="宋体"/>
                <w:b/>
                <w:sz w:val="21"/>
                <w:szCs w:val="21"/>
                <w:u w:val="single"/>
              </w:rPr>
            </w:pPr>
          </w:p>
          <w:p>
            <w:pPr>
              <w:tabs>
                <w:tab w:val="left" w:pos="540"/>
              </w:tabs>
              <w:spacing w:line="300" w:lineRule="exact"/>
              <w:ind w:left="31680" w:hanging="211" w:hangingChars="100"/>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4"/>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4"/>
              <w:numPr>
                <w:ilvl w:val="0"/>
                <w:numId w:val="1"/>
              </w:numPr>
              <w:tabs>
                <w:tab w:val="left" w:pos="540"/>
              </w:tabs>
              <w:spacing w:line="300" w:lineRule="exact"/>
              <w:ind w:firstLineChars="0"/>
              <w:rPr>
                <w:rFonts w:ascii="宋体"/>
                <w:b/>
                <w:szCs w:val="21"/>
              </w:rPr>
            </w:pPr>
            <w:r>
              <w:rPr>
                <w:rFonts w:hint="eastAsia" w:ascii="宋体" w:hAnsi="宋体"/>
                <w:b/>
                <w:szCs w:val="21"/>
              </w:rPr>
              <w:t>结合公司的</w:t>
            </w:r>
            <w:r>
              <w:rPr>
                <w:rFonts w:hint="eastAsia"/>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b/>
                <w:szCs w:val="21"/>
              </w:rPr>
              <w:t>■</w:t>
            </w:r>
            <w:r>
              <w:rPr>
                <w:rFonts w:hint="eastAsia" w:ascii="宋体" w:hAnsi="宋体"/>
                <w:b/>
                <w:szCs w:val="21"/>
              </w:rPr>
              <w:t>确定□未确定法律法规要求的具体条款，</w:t>
            </w:r>
          </w:p>
          <w:p>
            <w:pPr>
              <w:spacing w:line="400" w:lineRule="exact"/>
              <w:ind w:firstLine="480"/>
              <w:rPr>
                <w:rFonts w:ascii="宋体" w:cs="宋体"/>
                <w:sz w:val="18"/>
                <w:szCs w:val="18"/>
              </w:rPr>
            </w:pPr>
            <w:r>
              <w:rPr>
                <w:rFonts w:hint="eastAsia" w:ascii="宋体" w:hAnsi="宋体"/>
                <w:b/>
                <w:szCs w:val="21"/>
              </w:rPr>
              <w:t>法律法规的宣传方式：</w:t>
            </w:r>
            <w:r>
              <w:rPr>
                <w:rFonts w:hint="eastAsia" w:ascii="宋体" w:hAnsi="宋体"/>
                <w:sz w:val="21"/>
                <w:szCs w:val="21"/>
              </w:rPr>
              <w:t>通过培训、开会、发文件等形式将法律法规要求传达给了员工和相关方。</w:t>
            </w:r>
          </w:p>
          <w:p>
            <w:pPr>
              <w:pStyle w:val="14"/>
              <w:numPr>
                <w:ilvl w:val="0"/>
                <w:numId w:val="1"/>
              </w:numPr>
              <w:tabs>
                <w:tab w:val="left" w:pos="540"/>
              </w:tabs>
              <w:spacing w:line="300" w:lineRule="exact"/>
              <w:ind w:firstLineChars="0"/>
              <w:rPr>
                <w:rFonts w:ascii="宋体"/>
                <w:b/>
                <w:szCs w:val="21"/>
              </w:rPr>
            </w:pPr>
          </w:p>
          <w:p>
            <w:pPr>
              <w:pStyle w:val="14"/>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tabs>
                <w:tab w:val="left" w:pos="840"/>
              </w:tabs>
              <w:spacing w:line="480" w:lineRule="exact"/>
              <w:ind w:firstLine="2409" w:firstLineChars="1000"/>
              <w:rPr>
                <w:rFonts w:hint="eastAsia" w:ascii="楷体" w:hAnsi="楷体" w:eastAsia="楷体"/>
                <w:b/>
                <w:bCs/>
                <w:color w:val="auto"/>
                <w:sz w:val="24"/>
                <w:szCs w:val="24"/>
              </w:rPr>
            </w:pPr>
            <w:r>
              <w:rPr>
                <w:rFonts w:hint="eastAsia" w:ascii="楷体" w:hAnsi="楷体" w:eastAsia="楷体"/>
                <w:b/>
                <w:bCs/>
                <w:color w:val="auto"/>
                <w:sz w:val="24"/>
                <w:szCs w:val="24"/>
              </w:rPr>
              <w:t>产品出厂合格率100%；</w:t>
            </w:r>
          </w:p>
          <w:p>
            <w:pPr>
              <w:tabs>
                <w:tab w:val="left" w:pos="840"/>
              </w:tabs>
              <w:spacing w:line="480" w:lineRule="exact"/>
              <w:rPr>
                <w:rFonts w:hint="eastAsia" w:ascii="楷体" w:hAnsi="楷体" w:eastAsia="楷体"/>
                <w:color w:val="auto"/>
                <w:sz w:val="24"/>
                <w:szCs w:val="24"/>
              </w:rPr>
            </w:pPr>
            <w:r>
              <w:rPr>
                <w:rFonts w:hint="eastAsia" w:ascii="楷体" w:hAnsi="楷体" w:eastAsia="楷体"/>
                <w:b/>
                <w:bCs/>
                <w:color w:val="auto"/>
                <w:sz w:val="24"/>
                <w:szCs w:val="24"/>
              </w:rPr>
              <w:t xml:space="preserve">                     客户满意度达90% 以上；</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受审核方建立的管理体系文件包括：</w:t>
            </w:r>
          </w:p>
          <w:p>
            <w:pPr>
              <w:numPr>
                <w:ilvl w:val="0"/>
                <w:numId w:val="2"/>
              </w:numPr>
              <w:rPr>
                <w:rFonts w:ascii="宋体" w:cs="宋体"/>
                <w:sz w:val="21"/>
                <w:szCs w:val="21"/>
              </w:rPr>
            </w:pPr>
            <w:r>
              <w:rPr>
                <w:rFonts w:hint="eastAsia" w:ascii="宋体" w:hAnsi="宋体" w:cs="宋体"/>
                <w:sz w:val="21"/>
                <w:szCs w:val="21"/>
              </w:rPr>
              <w:t>管理手册</w:t>
            </w:r>
            <w:r>
              <w:rPr>
                <w:rFonts w:hint="eastAsia" w:asciiTheme="majorEastAsia" w:hAnsiTheme="majorEastAsia" w:eastAsiaTheme="majorEastAsia" w:cstheme="majorEastAsia"/>
                <w:b w:val="0"/>
                <w:bCs w:val="0"/>
                <w:sz w:val="21"/>
                <w:szCs w:val="21"/>
                <w:lang w:val="en-US" w:eastAsia="zh-CN"/>
              </w:rPr>
              <w:t>GQGY</w:t>
            </w:r>
            <w:r>
              <w:rPr>
                <w:rFonts w:hint="eastAsia" w:asciiTheme="majorEastAsia" w:hAnsiTheme="majorEastAsia" w:eastAsiaTheme="majorEastAsia" w:cstheme="majorEastAsia"/>
                <w:b w:val="0"/>
                <w:bCs w:val="0"/>
                <w:sz w:val="21"/>
                <w:szCs w:val="21"/>
              </w:rPr>
              <w:t>/QEOM—</w:t>
            </w:r>
            <w:r>
              <w:rPr>
                <w:rFonts w:hint="eastAsia" w:asciiTheme="majorEastAsia" w:hAnsiTheme="majorEastAsia" w:eastAsiaTheme="majorEastAsia" w:cstheme="majorEastAsia"/>
                <w:b w:val="0"/>
                <w:bCs w:val="0"/>
                <w:sz w:val="21"/>
                <w:szCs w:val="21"/>
                <w:lang w:eastAsia="zh-CN"/>
              </w:rPr>
              <w:t>2018</w:t>
            </w:r>
            <w:r>
              <w:rPr>
                <w:rFonts w:hint="eastAsia" w:asciiTheme="majorEastAsia" w:hAnsiTheme="majorEastAsia" w:eastAsiaTheme="majorEastAsia" w:cstheme="majorEastAsia"/>
                <w:b/>
                <w:bCs/>
                <w:sz w:val="32"/>
              </w:rPr>
              <w:t xml:space="preserve"> </w:t>
            </w:r>
            <w:r>
              <w:rPr>
                <w:rFonts w:hint="eastAsia"/>
                <w:sz w:val="21"/>
                <w:szCs w:val="21"/>
                <w:lang w:val="en-US" w:eastAsia="zh-CN"/>
              </w:rPr>
              <w:t xml:space="preserve">  B</w:t>
            </w:r>
            <w:r>
              <w:rPr>
                <w:rFonts w:hint="eastAsia" w:ascii="宋体" w:hAnsi="宋体"/>
                <w:bCs/>
                <w:sz w:val="21"/>
                <w:szCs w:val="21"/>
              </w:rPr>
              <w:t>版</w:t>
            </w:r>
            <w:r>
              <w:rPr>
                <w:rFonts w:hint="eastAsia" w:ascii="宋体" w:hAnsi="宋体" w:cs="宋体"/>
                <w:sz w:val="21"/>
                <w:szCs w:val="21"/>
              </w:rPr>
              <w:t>，发布时间：</w:t>
            </w:r>
            <w:r>
              <w:rPr>
                <w:rFonts w:ascii="宋体" w:hAnsi="宋体" w:cs="宋体"/>
                <w:sz w:val="21"/>
                <w:szCs w:val="21"/>
              </w:rPr>
              <w:t>201</w:t>
            </w:r>
            <w:r>
              <w:rPr>
                <w:rFonts w:hint="eastAsia" w:ascii="宋体" w:hAnsi="宋体" w:cs="宋体"/>
                <w:sz w:val="21"/>
                <w:szCs w:val="21"/>
                <w:lang w:val="en-US" w:eastAsia="zh-CN"/>
              </w:rPr>
              <w:t>8.11.15</w:t>
            </w:r>
            <w:r>
              <w:rPr>
                <w:rFonts w:ascii="宋体" w:hAnsi="宋体" w:cs="宋体"/>
                <w:sz w:val="21"/>
                <w:szCs w:val="21"/>
              </w:rPr>
              <w:t xml:space="preserve">   </w:t>
            </w:r>
            <w:r>
              <w:rPr>
                <w:rFonts w:hint="eastAsia" w:ascii="宋体" w:hAnsi="宋体" w:cs="宋体"/>
                <w:sz w:val="21"/>
                <w:szCs w:val="21"/>
              </w:rPr>
              <w:t>实施时间：</w:t>
            </w:r>
            <w:r>
              <w:rPr>
                <w:rFonts w:ascii="宋体" w:hAnsi="宋体" w:cs="宋体"/>
                <w:sz w:val="21"/>
                <w:szCs w:val="21"/>
              </w:rPr>
              <w:t>20</w:t>
            </w:r>
            <w:r>
              <w:rPr>
                <w:rFonts w:hint="eastAsia" w:ascii="宋体" w:hAnsi="宋体" w:cs="宋体"/>
                <w:sz w:val="21"/>
                <w:szCs w:val="21"/>
                <w:lang w:val="en-US" w:eastAsia="zh-CN"/>
              </w:rPr>
              <w:t>18.11.20</w:t>
            </w:r>
            <w:r>
              <w:rPr>
                <w:rFonts w:ascii="宋体" w:hAnsi="宋体" w:cs="宋体"/>
                <w:sz w:val="21"/>
                <w:szCs w:val="21"/>
              </w:rPr>
              <w:t xml:space="preserve"> </w:t>
            </w:r>
          </w:p>
          <w:p>
            <w:pPr>
              <w:rPr>
                <w:rFonts w:ascii="宋体" w:cs="宋体"/>
                <w:sz w:val="21"/>
                <w:szCs w:val="21"/>
              </w:rPr>
            </w:pPr>
            <w:r>
              <w:rPr>
                <w:rFonts w:ascii="宋体" w:hAnsi="宋体" w:cs="宋体"/>
                <w:sz w:val="21"/>
                <w:szCs w:val="21"/>
              </w:rPr>
              <w:t>2.</w:t>
            </w:r>
            <w:r>
              <w:rPr>
                <w:rFonts w:hint="eastAsia" w:ascii="宋体" w:hAnsi="宋体" w:cs="宋体"/>
                <w:sz w:val="21"/>
                <w:szCs w:val="21"/>
              </w:rPr>
              <w:t>程序文件，含</w:t>
            </w:r>
            <w:r>
              <w:rPr>
                <w:rFonts w:hint="eastAsia" w:ascii="宋体" w:hAnsi="宋体" w:cs="宋体"/>
                <w:sz w:val="21"/>
                <w:szCs w:val="21"/>
                <w:lang w:val="en-US" w:eastAsia="zh-CN"/>
              </w:rPr>
              <w:t>26</w:t>
            </w:r>
            <w:r>
              <w:rPr>
                <w:rFonts w:hint="eastAsia" w:ascii="宋体" w:hAnsi="宋体" w:cs="宋体"/>
                <w:sz w:val="21"/>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rPr>
                <w:sz w:val="21"/>
                <w:szCs w:val="21"/>
              </w:rPr>
            </w:pPr>
            <w:r>
              <w:rPr>
                <w:rFonts w:hint="eastAsia" w:ascii="宋体" w:hAnsi="宋体" w:cs="宋体"/>
                <w:sz w:val="21"/>
                <w:szCs w:val="21"/>
              </w:rPr>
              <w:t>包括管理制度、合同</w:t>
            </w:r>
            <w:r>
              <w:rPr>
                <w:rFonts w:hint="eastAsia"/>
                <w:sz w:val="21"/>
                <w:szCs w:val="21"/>
              </w:rPr>
              <w:t>管理制定、作业指导书等。</w:t>
            </w:r>
          </w:p>
          <w:p>
            <w:pPr>
              <w:rPr>
                <w:sz w:val="21"/>
                <w:szCs w:val="21"/>
              </w:rPr>
            </w:pPr>
            <w:r>
              <w:rPr>
                <w:sz w:val="21"/>
                <w:szCs w:val="21"/>
              </w:rPr>
              <w:t>4.</w:t>
            </w:r>
            <w:r>
              <w:rPr>
                <w:rFonts w:hint="eastAsia"/>
                <w:sz w:val="21"/>
                <w:szCs w:val="21"/>
              </w:rPr>
              <w:t>体系运行所需要的文件和记录</w:t>
            </w:r>
          </w:p>
          <w:p>
            <w:pPr>
              <w:ind w:firstLine="420" w:firstLineChars="200"/>
              <w:rPr>
                <w:sz w:val="21"/>
                <w:szCs w:val="21"/>
              </w:rPr>
            </w:pPr>
            <w:r>
              <w:rPr>
                <w:rFonts w:hint="eastAsia"/>
                <w:sz w:val="21"/>
                <w:szCs w:val="21"/>
              </w:rPr>
              <w:t>编制了《文件控制程序》，用于对管理体系文件，符合标准要求。</w:t>
            </w:r>
          </w:p>
          <w:p>
            <w:pPr>
              <w:ind w:firstLine="420" w:firstLineChars="200"/>
              <w:rPr>
                <w:sz w:val="21"/>
                <w:szCs w:val="21"/>
              </w:rPr>
            </w:pPr>
            <w:r>
              <w:rPr>
                <w:rFonts w:hint="eastAsia"/>
                <w:sz w:val="21"/>
                <w:szCs w:val="21"/>
              </w:rPr>
              <w:t>查</w:t>
            </w:r>
            <w:r>
              <w:rPr>
                <w:rFonts w:hint="eastAsia"/>
                <w:sz w:val="21"/>
                <w:szCs w:val="21"/>
                <w:lang w:val="en-US" w:eastAsia="zh-CN"/>
              </w:rPr>
              <w:t>办公室</w:t>
            </w:r>
            <w:r>
              <w:rPr>
                <w:rFonts w:hint="eastAsia"/>
                <w:sz w:val="21"/>
                <w:szCs w:val="21"/>
              </w:rPr>
              <w:t>管理手册、管理制度等文件均保管良好，为有效版本，有受控标识。</w:t>
            </w:r>
          </w:p>
          <w:p>
            <w:pPr>
              <w:ind w:firstLine="420" w:firstLineChars="200"/>
              <w:rPr>
                <w:sz w:val="21"/>
                <w:szCs w:val="21"/>
              </w:rPr>
            </w:pPr>
            <w:r>
              <w:rPr>
                <w:rFonts w:hint="eastAsia"/>
                <w:sz w:val="21"/>
                <w:szCs w:val="21"/>
                <w:lang w:val="en-US" w:eastAsia="zh-CN"/>
              </w:rPr>
              <w:t>行政部</w:t>
            </w:r>
            <w:r>
              <w:rPr>
                <w:rFonts w:hint="eastAsia"/>
                <w:sz w:val="21"/>
                <w:szCs w:val="21"/>
              </w:rPr>
              <w:t>负责收集有关产品的国家标准、行业标准的最新版本，分发到相关部门使用；收回旧标准。</w:t>
            </w:r>
          </w:p>
          <w:p>
            <w:pPr>
              <w:rPr>
                <w:sz w:val="21"/>
                <w:szCs w:val="21"/>
              </w:rPr>
            </w:pPr>
            <w:r>
              <w:rPr>
                <w:rFonts w:hint="eastAsia"/>
                <w:sz w:val="21"/>
                <w:szCs w:val="21"/>
              </w:rPr>
              <w:t>以上外来文件保管良好，均为有效版本。</w:t>
            </w:r>
          </w:p>
          <w:p>
            <w:pPr>
              <w:ind w:firstLine="420" w:firstLineChars="200"/>
              <w:rPr>
                <w:sz w:val="21"/>
                <w:szCs w:val="21"/>
              </w:rPr>
            </w:pPr>
            <w:r>
              <w:rPr>
                <w:rFonts w:hint="eastAsia"/>
                <w:sz w:val="21"/>
                <w:szCs w:val="21"/>
              </w:rPr>
              <w:t>查见《记录清单》，内容包括：序号、记录名称、编号、保存期、使用部门等。</w:t>
            </w:r>
          </w:p>
          <w:p>
            <w:pPr>
              <w:tabs>
                <w:tab w:val="left" w:pos="540"/>
              </w:tabs>
              <w:spacing w:line="240" w:lineRule="exact"/>
              <w:rPr>
                <w:rFonts w:ascii="宋体"/>
                <w:b/>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b/>
                <w:sz w:val="21"/>
                <w:szCs w:val="21"/>
              </w:rPr>
            </w:pPr>
            <w:r>
              <w:rPr>
                <w:rFonts w:hint="eastAsia" w:ascii="宋体" w:hAnsi="宋体"/>
                <w:sz w:val="21"/>
                <w:szCs w:val="21"/>
              </w:rPr>
              <w:t>生产、技术、检验、销售</w:t>
            </w:r>
            <w:r>
              <w:rPr>
                <w:rFonts w:hint="eastAsia" w:ascii="宋体" w:hAnsi="宋体" w:cs="宋体"/>
                <w:sz w:val="21"/>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b/>
                <w:sz w:val="21"/>
                <w:szCs w:val="21"/>
              </w:rPr>
            </w:pPr>
            <w:r>
              <w:rPr>
                <w:rFonts w:hint="eastAsia"/>
                <w:sz w:val="21"/>
                <w:szCs w:val="21"/>
                <w:lang w:val="en-US" w:eastAsia="zh-CN"/>
              </w:rPr>
              <w:t>铝材锯切机、自动型材切割机、液压摆式剪板机、台式钻床、锐捷雕刻机、东川(DOCAN)UV彩绘机、铣床等</w:t>
            </w:r>
            <w:r>
              <w:rPr>
                <w:rFonts w:hint="eastAsia"/>
                <w:sz w:val="21"/>
                <w:szCs w:val="21"/>
              </w:rPr>
              <w:t>生产设备及</w:t>
            </w:r>
            <w:r>
              <w:rPr>
                <w:rFonts w:hint="eastAsia"/>
                <w:lang w:eastAsia="zh-CN"/>
              </w:rPr>
              <w:t>游标</w:t>
            </w:r>
            <w:r>
              <w:rPr>
                <w:rFonts w:hint="eastAsia"/>
              </w:rPr>
              <w:t>卡尺</w:t>
            </w:r>
            <w:r>
              <w:rPr>
                <w:rFonts w:hint="eastAsia"/>
                <w:lang w:eastAsia="zh-CN"/>
              </w:rPr>
              <w:t>、钢</w:t>
            </w:r>
            <w:r>
              <w:rPr>
                <w:rFonts w:hint="eastAsia"/>
              </w:rPr>
              <w:t>卷尺</w:t>
            </w:r>
            <w:r>
              <w:rPr>
                <w:rFonts w:hint="eastAsia" w:ascii="宋体" w:hAnsi="宋体" w:eastAsia="宋体" w:cs="宋体"/>
                <w:sz w:val="21"/>
                <w:szCs w:val="21"/>
                <w:lang w:val="en-US" w:eastAsia="zh-CN"/>
              </w:rPr>
              <w:t>等</w:t>
            </w:r>
            <w:r>
              <w:rPr>
                <w:rFonts w:hint="eastAsia"/>
                <w:sz w:val="21"/>
                <w:szCs w:val="21"/>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过程运行环境</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sz w:val="21"/>
                <w:szCs w:val="21"/>
                <w:lang w:eastAsia="zh-CN"/>
              </w:rPr>
              <w:t>游标</w:t>
            </w:r>
            <w:r>
              <w:rPr>
                <w:rFonts w:hint="eastAsia"/>
                <w:sz w:val="21"/>
                <w:szCs w:val="21"/>
              </w:rPr>
              <w:t>卡尺</w:t>
            </w:r>
            <w:r>
              <w:rPr>
                <w:rFonts w:hint="eastAsia"/>
                <w:sz w:val="21"/>
                <w:szCs w:val="21"/>
                <w:lang w:eastAsia="zh-CN"/>
              </w:rPr>
              <w:t>、钢</w:t>
            </w:r>
            <w:r>
              <w:rPr>
                <w:rFonts w:hint="eastAsia"/>
                <w:sz w:val="21"/>
                <w:szCs w:val="21"/>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ind w:firstLine="420" w:firstLineChars="200"/>
              <w:rPr>
                <w:sz w:val="21"/>
                <w:szCs w:val="21"/>
              </w:rPr>
            </w:pPr>
            <w:r>
              <w:rPr>
                <w:rFonts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sz w:val="21"/>
                <w:szCs w:val="21"/>
                <w:u w:val="single"/>
              </w:rPr>
              <w:t>根据组织宗旨制定了</w:t>
            </w:r>
            <w:r>
              <w:rPr>
                <w:rFonts w:hint="eastAsia" w:ascii="宋体" w:hAnsi="宋体"/>
                <w:sz w:val="21"/>
                <w:szCs w:val="21"/>
                <w:u w:val="single"/>
                <w:lang w:val="en-US" w:eastAsia="zh-CN"/>
              </w:rPr>
              <w:t>质量</w:t>
            </w:r>
            <w:r>
              <w:rPr>
                <w:rFonts w:hint="eastAsia" w:ascii="宋体" w:hAnsi="宋体"/>
                <w:sz w:val="21"/>
                <w:szCs w:val="21"/>
                <w:u w:val="single"/>
              </w:rPr>
              <w:t>管理方针，进行了有效沟通，在管理评审时进行评审，</w:t>
            </w:r>
            <w:r>
              <w:rPr>
                <w:rFonts w:ascii="宋体" w:hAnsi="宋体"/>
                <w:sz w:val="21"/>
                <w:szCs w:val="21"/>
                <w:u w:val="single"/>
              </w:rPr>
              <w:t>符合要求</w:t>
            </w:r>
            <w:r>
              <w:rPr>
                <w:rFonts w:hint="eastAsia" w:ascii="宋体" w:hAnsi="宋体"/>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内部沟通的情况：内部沟通方式：</w:t>
            </w:r>
          </w:p>
          <w:p>
            <w:pPr>
              <w:spacing w:line="240" w:lineRule="exact"/>
              <w:rPr>
                <w:rFonts w:ascii="宋体"/>
                <w:b/>
                <w:sz w:val="21"/>
                <w:szCs w:val="21"/>
              </w:rPr>
            </w:pPr>
            <w:r>
              <w:rPr>
                <w:rFonts w:hint="eastAsia" w:ascii="宋体" w:hAnsi="宋体"/>
                <w:b/>
                <w:sz w:val="21"/>
                <w:szCs w:val="21"/>
              </w:rPr>
              <w:t>内部沟通的效果：</w:t>
            </w:r>
          </w:p>
          <w:p>
            <w:pPr>
              <w:spacing w:line="240" w:lineRule="exact"/>
              <w:rPr>
                <w:rFonts w:ascii="宋体"/>
                <w:b/>
                <w:sz w:val="21"/>
                <w:szCs w:val="21"/>
              </w:rPr>
            </w:pPr>
          </w:p>
          <w:p>
            <w:pPr>
              <w:rPr>
                <w:rFonts w:ascii="宋体" w:cs="宋体"/>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宋体"/>
                <w:sz w:val="21"/>
                <w:szCs w:val="21"/>
              </w:rPr>
              <w:t>策划编制的程序文件《信息交流控制程序》及管理手册的相关章节规定了企业内、外部沟通的要求，经查阅和交谈符合标准要求。</w:t>
            </w:r>
          </w:p>
          <w:p>
            <w:pPr>
              <w:ind w:firstLine="420" w:firstLineChars="200"/>
              <w:rPr>
                <w:rFonts w:ascii="宋体" w:cs="宋体"/>
                <w:sz w:val="21"/>
                <w:szCs w:val="21"/>
              </w:rPr>
            </w:pPr>
            <w:r>
              <w:rPr>
                <w:rFonts w:hint="eastAsia" w:ascii="宋体" w:hAnsi="宋体" w:cs="宋体"/>
                <w:sz w:val="21"/>
                <w:szCs w:val="21"/>
              </w:rPr>
              <w:t>总经理负责在公司建立畅通的沟通渠道。管理者代表是公司内部和外部信息交流和沟通的负责人。</w:t>
            </w:r>
            <w:r>
              <w:rPr>
                <w:rFonts w:hint="eastAsia" w:ascii="宋体" w:hAnsi="宋体" w:cs="宋体"/>
                <w:sz w:val="21"/>
                <w:szCs w:val="21"/>
                <w:lang w:val="en-US" w:eastAsia="zh-CN"/>
              </w:rPr>
              <w:t>行政部</w:t>
            </w:r>
            <w:r>
              <w:rPr>
                <w:rFonts w:hint="eastAsia" w:ascii="宋体" w:hAnsi="宋体" w:cs="宋体"/>
                <w:sz w:val="21"/>
                <w:szCs w:val="21"/>
              </w:rPr>
              <w:t>是公司内部和外部信息交流和协商的归口部门。负责与上级主管部门及周边单位的信息交流；负责与管理体系、法律法规等有关的内部和外部信息交流；</w:t>
            </w:r>
            <w:r>
              <w:rPr>
                <w:rFonts w:hint="eastAsia" w:ascii="宋体" w:hAnsi="宋体" w:cs="宋体"/>
                <w:sz w:val="21"/>
                <w:szCs w:val="21"/>
                <w:lang w:val="en-US" w:eastAsia="zh-CN"/>
              </w:rPr>
              <w:t>供销部</w:t>
            </w:r>
            <w:r>
              <w:rPr>
                <w:rFonts w:hint="eastAsia" w:ascii="宋体" w:hAnsi="宋体" w:cs="宋体"/>
                <w:sz w:val="21"/>
                <w:szCs w:val="21"/>
              </w:rPr>
              <w:t>负责与采购供方、客户等相关方之间的沟通。各部门收集到有关</w:t>
            </w:r>
            <w:r>
              <w:rPr>
                <w:rFonts w:hint="eastAsia" w:ascii="宋体" w:hAnsi="宋体" w:cs="宋体"/>
                <w:sz w:val="21"/>
                <w:szCs w:val="21"/>
                <w:lang w:val="en-US" w:eastAsia="zh-CN"/>
              </w:rPr>
              <w:t>质量</w:t>
            </w:r>
            <w:r>
              <w:rPr>
                <w:rFonts w:hint="eastAsia" w:ascii="宋体" w:hAnsi="宋体" w:cs="宋体"/>
                <w:sz w:val="21"/>
                <w:szCs w:val="21"/>
              </w:rPr>
              <w:t>方面的信息，包括法律法规等，及时向</w:t>
            </w:r>
            <w:r>
              <w:rPr>
                <w:rFonts w:hint="eastAsia" w:ascii="宋体" w:hAnsi="宋体" w:cs="宋体"/>
                <w:sz w:val="21"/>
                <w:szCs w:val="21"/>
                <w:lang w:val="en-US" w:eastAsia="zh-CN"/>
              </w:rPr>
              <w:t>行政</w:t>
            </w:r>
            <w:r>
              <w:rPr>
                <w:rFonts w:hint="eastAsia" w:ascii="宋体" w:hAnsi="宋体" w:cs="宋体"/>
                <w:sz w:val="21"/>
                <w:szCs w:val="21"/>
              </w:rPr>
              <w:t>反馈。</w:t>
            </w:r>
            <w:r>
              <w:rPr>
                <w:rFonts w:hint="eastAsia" w:ascii="宋体" w:hAnsi="宋体" w:cs="宋体"/>
                <w:sz w:val="21"/>
                <w:szCs w:val="21"/>
                <w:lang w:val="en-US" w:eastAsia="zh-CN"/>
              </w:rPr>
              <w:t>供销</w:t>
            </w:r>
            <w:r>
              <w:rPr>
                <w:rFonts w:hint="eastAsia" w:ascii="宋体" w:hAnsi="宋体" w:cs="宋体"/>
                <w:sz w:val="21"/>
                <w:szCs w:val="21"/>
              </w:rPr>
              <w:t>部负责顾客要求方面的有关事宜的沟通。</w:t>
            </w:r>
          </w:p>
          <w:p>
            <w:pPr>
              <w:ind w:firstLine="420" w:firstLineChars="200"/>
              <w:rPr>
                <w:rFonts w:ascii="宋体" w:cs="宋体"/>
                <w:sz w:val="21"/>
                <w:szCs w:val="21"/>
              </w:rPr>
            </w:pPr>
            <w:r>
              <w:rPr>
                <w:rFonts w:hint="eastAsia" w:ascii="宋体" w:hAnsi="宋体" w:cs="宋体"/>
                <w:sz w:val="21"/>
                <w:szCs w:val="21"/>
              </w:rPr>
              <w:t>目前各项沟通都较为及时、顺畅、效果较好。</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b/>
                <w:sz w:val="21"/>
                <w:szCs w:val="21"/>
              </w:rPr>
            </w:pPr>
          </w:p>
          <w:p>
            <w:pPr>
              <w:spacing w:line="240" w:lineRule="exact"/>
              <w:rPr>
                <w:rFonts w:asci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6" w:leftChars="42" w:hanging="105" w:hangingChars="50"/>
              <w:rPr>
                <w:rFonts w:ascii="宋体" w:hAnsi="宋体"/>
                <w:b/>
                <w:sz w:val="21"/>
                <w:szCs w:val="21"/>
              </w:rPr>
            </w:pPr>
          </w:p>
          <w:p>
            <w:pPr>
              <w:spacing w:line="240" w:lineRule="exact"/>
              <w:ind w:firstLine="420" w:firstLineChars="200"/>
              <w:rPr>
                <w:color w:val="000000"/>
                <w:sz w:val="21"/>
                <w:szCs w:val="21"/>
              </w:rPr>
            </w:pPr>
            <w:r>
              <w:rPr>
                <w:rFonts w:hint="eastAsia"/>
                <w:color w:val="000000"/>
                <w:sz w:val="21"/>
                <w:szCs w:val="21"/>
              </w:rPr>
              <w:t>公司依据客户订单，下达生产任务通知单，接到定单后召开生产会议，进行生产、质量及管理工作协调。</w:t>
            </w:r>
          </w:p>
          <w:p>
            <w:pPr>
              <w:spacing w:line="240" w:lineRule="exact"/>
              <w:rPr>
                <w:color w:val="000000"/>
                <w:sz w:val="21"/>
                <w:szCs w:val="21"/>
              </w:rPr>
            </w:pPr>
            <w:r>
              <w:rPr>
                <w:rFonts w:hint="eastAsia"/>
                <w:color w:val="000000"/>
                <w:sz w:val="21"/>
                <w:szCs w:val="21"/>
              </w:rPr>
              <w:t>通过原材料检验、过程检验、成品检验等过程对产品质量、生产进度等进行监控。</w:t>
            </w:r>
          </w:p>
          <w:p>
            <w:pPr>
              <w:spacing w:line="240" w:lineRule="exact"/>
              <w:rPr>
                <w:color w:val="000000"/>
                <w:sz w:val="21"/>
                <w:szCs w:val="21"/>
              </w:rPr>
            </w:pPr>
            <w:r>
              <w:rPr>
                <w:rFonts w:hint="eastAsia"/>
                <w:color w:val="000000"/>
                <w:sz w:val="21"/>
                <w:szCs w:val="21"/>
              </w:rPr>
              <w:t>为生产过程提供了适宜的设备及环境，配备了胜任的人员。</w:t>
            </w:r>
          </w:p>
          <w:p>
            <w:pPr>
              <w:spacing w:line="240" w:lineRule="exact"/>
              <w:rPr>
                <w:color w:val="000000"/>
                <w:sz w:val="21"/>
                <w:szCs w:val="21"/>
              </w:rPr>
            </w:pPr>
            <w:r>
              <w:rPr>
                <w:rFonts w:hint="eastAsia"/>
                <w:color w:val="000000"/>
                <w:sz w:val="21"/>
                <w:szCs w:val="21"/>
              </w:rPr>
              <w:t>公司按照制定的产品检验规程、作业指导书等文件对产品的生产和检验过程实施了过程控制。</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b/>
                <w:sz w:val="21"/>
                <w:szCs w:val="21"/>
              </w:rPr>
            </w:pPr>
          </w:p>
          <w:p>
            <w:pPr>
              <w:snapToGrid w:val="0"/>
              <w:spacing w:line="280" w:lineRule="exact"/>
              <w:jc w:val="left"/>
              <w:rPr>
                <w:rFonts w:ascii="宋体" w:hAnsi="宋体" w:cs="宋体"/>
                <w:sz w:val="21"/>
                <w:szCs w:val="21"/>
              </w:rPr>
            </w:pPr>
            <w:r>
              <w:rPr>
                <w:rFonts w:hint="eastAsia" w:ascii="宋体" w:hAnsi="宋体" w:cs="宋体"/>
                <w:sz w:val="21"/>
                <w:szCs w:val="21"/>
              </w:rPr>
              <w:t>企业参考国家行业主要</w:t>
            </w:r>
            <w:r>
              <w:rPr>
                <w:rFonts w:hint="eastAsia" w:ascii="宋体" w:hAnsi="宋体" w:cs="宋体"/>
                <w:sz w:val="21"/>
                <w:szCs w:val="21"/>
                <w:lang w:val="en-US" w:eastAsia="zh-CN"/>
              </w:rPr>
              <w:t>标准</w:t>
            </w:r>
            <w:r>
              <w:rPr>
                <w:rFonts w:hint="eastAsia" w:ascii="宋体" w:hAnsi="宋体" w:cs="宋体"/>
                <w:sz w:val="21"/>
                <w:szCs w:val="21"/>
              </w:rPr>
              <w:t>有：</w:t>
            </w:r>
            <w:r>
              <w:rPr>
                <w:rFonts w:hint="eastAsia"/>
                <w:sz w:val="21"/>
                <w:szCs w:val="21"/>
              </w:rPr>
              <w:t>GB/T19001-2016/ISO 9001：2015</w:t>
            </w:r>
            <w:r>
              <w:rPr>
                <w:rFonts w:hint="eastAsia"/>
                <w:sz w:val="21"/>
                <w:szCs w:val="21"/>
                <w:lang w:eastAsia="zh-CN"/>
              </w:rPr>
              <w:t>（</w:t>
            </w:r>
            <w:r>
              <w:rPr>
                <w:rFonts w:hint="eastAsia"/>
                <w:sz w:val="21"/>
                <w:szCs w:val="21"/>
              </w:rPr>
              <w:t>质量管理体系—要求</w:t>
            </w:r>
            <w:r>
              <w:rPr>
                <w:rFonts w:hint="eastAsia"/>
                <w:sz w:val="21"/>
                <w:szCs w:val="21"/>
                <w:lang w:eastAsia="zh-CN"/>
              </w:rPr>
              <w:t>）、</w:t>
            </w:r>
            <w:r>
              <w:rPr>
                <w:rFonts w:hint="eastAsia"/>
                <w:sz w:val="21"/>
                <w:szCs w:val="21"/>
              </w:rPr>
              <w:t>《</w:t>
            </w:r>
            <w:r>
              <w:rPr>
                <w:rFonts w:hint="eastAsia"/>
                <w:sz w:val="21"/>
                <w:szCs w:val="21"/>
                <w:lang w:val="en-US" w:eastAsia="zh-CN"/>
              </w:rPr>
              <w:t>GB/T3325---2017</w:t>
            </w:r>
            <w:r>
              <w:rPr>
                <w:rFonts w:hint="eastAsia"/>
                <w:sz w:val="21"/>
                <w:szCs w:val="21"/>
              </w:rPr>
              <w:t xml:space="preserve">  </w:t>
            </w:r>
            <w:r>
              <w:rPr>
                <w:rFonts w:hint="eastAsia"/>
                <w:sz w:val="21"/>
                <w:szCs w:val="21"/>
                <w:lang w:eastAsia="zh-CN"/>
              </w:rPr>
              <w:t>金属家具通用技术条件</w:t>
            </w:r>
            <w:r>
              <w:rPr>
                <w:rFonts w:hint="eastAsia"/>
                <w:sz w:val="21"/>
                <w:szCs w:val="21"/>
              </w:rPr>
              <w:t>》</w:t>
            </w:r>
            <w:r>
              <w:rPr>
                <w:rFonts w:hint="eastAsia" w:ascii="宋体" w:hAnsi="宋体" w:cs="宋体"/>
                <w:sz w:val="21"/>
                <w:szCs w:val="21"/>
              </w:rPr>
              <w:t>和客户要求。</w:t>
            </w:r>
          </w:p>
          <w:p>
            <w:pPr>
              <w:spacing w:line="240" w:lineRule="exact"/>
              <w:rPr>
                <w:rFonts w:hint="eastAsia" w:ascii="宋体" w:eastAsia="宋体"/>
                <w:b/>
                <w:sz w:val="21"/>
                <w:szCs w:val="21"/>
                <w:lang w:eastAsia="zh-CN"/>
              </w:rPr>
            </w:pPr>
            <w:r>
              <w:rPr>
                <w:rFonts w:hint="eastAsia" w:ascii="宋体" w:hAnsi="宋体" w:cs="宋体"/>
                <w:sz w:val="21"/>
                <w:szCs w:val="21"/>
              </w:rPr>
              <w:t>提供了产品检验记录，提供了第三方产品检验报告，产品检验合格，满足顾客要求</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1" w:firstLineChars="100"/>
              <w:rPr>
                <w:rFonts w:ascii="宋体"/>
                <w:b/>
                <w:sz w:val="21"/>
                <w:szCs w:val="21"/>
              </w:rPr>
            </w:pPr>
          </w:p>
          <w:p>
            <w:pPr>
              <w:spacing w:line="240" w:lineRule="exact"/>
              <w:rPr>
                <w:rFonts w:hint="eastAsia" w:ascii="宋体" w:eastAsia="宋体"/>
                <w:b/>
                <w:sz w:val="21"/>
                <w:szCs w:val="21"/>
                <w:lang w:val="en-US" w:eastAsia="zh-CN"/>
              </w:rPr>
            </w:pPr>
            <w:r>
              <w:rPr>
                <w:rFonts w:hint="eastAsia" w:ascii="宋体"/>
                <w:b/>
                <w:sz w:val="21"/>
                <w:szCs w:val="21"/>
                <w:lang w:val="en-US" w:eastAsia="zh-CN"/>
              </w:rPr>
              <w:t>无</w:t>
            </w: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hint="default" w:ascii="宋体" w:eastAsia="宋体"/>
                <w:b/>
                <w:sz w:val="21"/>
                <w:szCs w:val="21"/>
                <w:lang w:val="en-US" w:eastAsia="zh-CN"/>
              </w:rPr>
            </w:pPr>
            <w:r>
              <w:rPr>
                <w:rFonts w:hint="eastAsia" w:ascii="宋体"/>
                <w:b/>
                <w:sz w:val="21"/>
                <w:szCs w:val="21"/>
                <w:lang w:val="en-US" w:eastAsia="zh-CN"/>
              </w:rPr>
              <w:t>未提供空压机上的压力表检定证书，开具了不符合。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b/>
                <w:sz w:val="21"/>
                <w:szCs w:val="21"/>
              </w:rPr>
            </w:pPr>
            <w:r>
              <w:rPr>
                <w:rFonts w:hint="eastAsia" w:ascii="宋体" w:hAnsi="宋体"/>
                <w:sz w:val="21"/>
                <w:szCs w:val="21"/>
                <w:u w:val="single"/>
              </w:rPr>
              <w:t>20</w:t>
            </w:r>
            <w:r>
              <w:rPr>
                <w:rFonts w:hint="eastAsia" w:ascii="宋体" w:hAnsi="宋体"/>
                <w:sz w:val="21"/>
                <w:szCs w:val="21"/>
                <w:u w:val="single"/>
                <w:lang w:val="en-US" w:eastAsia="zh-CN"/>
              </w:rPr>
              <w:t>20年4月13日</w:t>
            </w:r>
            <w:r>
              <w:rPr>
                <w:rFonts w:hint="eastAsia" w:ascii="宋体" w:hAnsi="宋体"/>
                <w:sz w:val="21"/>
                <w:szCs w:val="21"/>
                <w:u w:val="singl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顾客满意</w:t>
            </w:r>
          </w:p>
          <w:p>
            <w:pPr>
              <w:ind w:firstLine="420" w:firstLineChars="200"/>
              <w:rPr>
                <w:sz w:val="21"/>
                <w:szCs w:val="21"/>
                <w:lang w:val="zh-CN"/>
              </w:rPr>
            </w:pPr>
            <w:r>
              <w:rPr>
                <w:rFonts w:hint="eastAsia"/>
                <w:sz w:val="21"/>
                <w:szCs w:val="21"/>
                <w:lang w:val="zh-CN"/>
              </w:rPr>
              <w:t>公司通过电话，走访等形式，接受顾客反馈，了解顾客满意度信息，发放调查表对顾客满意度进行定量测量。</w:t>
            </w:r>
          </w:p>
          <w:p>
            <w:pPr>
              <w:ind w:firstLine="420" w:firstLineChars="200"/>
              <w:rPr>
                <w:b/>
                <w:color w:val="000000"/>
                <w:sz w:val="21"/>
                <w:szCs w:val="21"/>
              </w:rPr>
            </w:pPr>
            <w:r>
              <w:rPr>
                <w:rFonts w:hint="eastAsia"/>
                <w:sz w:val="21"/>
                <w:szCs w:val="21"/>
                <w:lang w:val="zh-CN"/>
              </w:rPr>
              <w:t>提供“顾客满意程度调查表”顾客较满意。</w:t>
            </w:r>
            <w:r>
              <w:rPr>
                <w:b/>
                <w:color w:val="000000"/>
                <w:sz w:val="21"/>
                <w:szCs w:val="21"/>
              </w:rPr>
              <w:t xml:space="preserve"> </w:t>
            </w:r>
          </w:p>
          <w:p>
            <w:pPr>
              <w:numPr>
                <w:ilvl w:val="0"/>
                <w:numId w:val="0"/>
              </w:numPr>
              <w:spacing w:line="24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b/>
                <w:sz w:val="21"/>
                <w:szCs w:val="21"/>
              </w:rPr>
            </w:pPr>
          </w:p>
          <w:p>
            <w:pPr>
              <w:ind w:firstLine="420" w:firstLineChars="200"/>
              <w:rPr>
                <w:sz w:val="21"/>
                <w:szCs w:val="21"/>
              </w:rPr>
            </w:pPr>
            <w:r>
              <w:rPr>
                <w:rFonts w:hint="eastAsia"/>
                <w:sz w:val="21"/>
                <w:szCs w:val="21"/>
              </w:rPr>
              <w:t>公司制定了《内部审核控制程序》，文件规定每年至少进行一次内部审核，间隔时间不超过</w:t>
            </w:r>
            <w:r>
              <w:rPr>
                <w:sz w:val="21"/>
                <w:szCs w:val="21"/>
              </w:rPr>
              <w:t>12</w:t>
            </w:r>
            <w:r>
              <w:rPr>
                <w:rFonts w:hint="eastAsia"/>
                <w:sz w:val="21"/>
                <w:szCs w:val="21"/>
              </w:rPr>
              <w:t>个月。规定了审核的策划、实施、形成记录以及报告结果的要求。</w:t>
            </w:r>
          </w:p>
          <w:p>
            <w:pPr>
              <w:rPr>
                <w:sz w:val="21"/>
                <w:szCs w:val="21"/>
              </w:rPr>
            </w:pPr>
            <w:r>
              <w:rPr>
                <w:rFonts w:hint="eastAsia"/>
                <w:sz w:val="21"/>
                <w:szCs w:val="21"/>
              </w:rPr>
              <w:t>提供了《审核实施计划》，审核目的，依据、审核时间、受审部门、日程安排、审核组长和成员等内容。</w:t>
            </w:r>
          </w:p>
          <w:p>
            <w:pPr>
              <w:rPr>
                <w:sz w:val="21"/>
                <w:szCs w:val="21"/>
              </w:rPr>
            </w:pPr>
            <w:r>
              <w:rPr>
                <w:rFonts w:hint="eastAsia"/>
                <w:sz w:val="21"/>
                <w:szCs w:val="21"/>
              </w:rPr>
              <w:t>内审时间：</w:t>
            </w:r>
            <w:r>
              <w:rPr>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19-20</w:t>
            </w:r>
            <w:r>
              <w:rPr>
                <w:rFonts w:hint="eastAsia"/>
                <w:sz w:val="21"/>
                <w:szCs w:val="21"/>
              </w:rPr>
              <w:t>日。</w:t>
            </w:r>
          </w:p>
          <w:p>
            <w:pPr>
              <w:rPr>
                <w:sz w:val="21"/>
                <w:szCs w:val="21"/>
              </w:rPr>
            </w:pPr>
            <w:r>
              <w:rPr>
                <w:rFonts w:hint="eastAsia"/>
                <w:sz w:val="21"/>
                <w:szCs w:val="21"/>
              </w:rPr>
              <w:t>依据</w:t>
            </w:r>
            <w:r>
              <w:rPr>
                <w:sz w:val="21"/>
                <w:szCs w:val="21"/>
              </w:rPr>
              <w:t>GB/T19001-2016</w:t>
            </w:r>
            <w:r>
              <w:rPr>
                <w:rFonts w:hint="eastAsia"/>
                <w:sz w:val="21"/>
                <w:szCs w:val="21"/>
              </w:rPr>
              <w:t>版标准，质量管理手册和体系其他文件。计划由总经理批准后实施。</w:t>
            </w:r>
          </w:p>
          <w:p>
            <w:pPr>
              <w:rPr>
                <w:sz w:val="21"/>
                <w:szCs w:val="21"/>
              </w:rPr>
            </w:pPr>
            <w:r>
              <w:rPr>
                <w:rFonts w:hint="eastAsia"/>
                <w:sz w:val="21"/>
                <w:szCs w:val="21"/>
              </w:rPr>
              <w:t>公司按计划实施了内审。提供了内审员任命书，写明了内审员任职要求及审核要求。内审员的安排考虑了审核过程的客观性和公正性，没有发现自己审核本部门的情况。</w:t>
            </w:r>
            <w:r>
              <w:rPr>
                <w:sz w:val="21"/>
                <w:szCs w:val="21"/>
              </w:rPr>
              <w:t xml:space="preserve">  </w:t>
            </w:r>
          </w:p>
          <w:p>
            <w:pPr>
              <w:rPr>
                <w:sz w:val="21"/>
                <w:szCs w:val="21"/>
              </w:rPr>
            </w:pPr>
            <w:r>
              <w:rPr>
                <w:rFonts w:hint="eastAsia"/>
                <w:sz w:val="21"/>
                <w:szCs w:val="21"/>
              </w:rPr>
              <w:t>提供了内审检查表。内审不符合</w:t>
            </w:r>
            <w:r>
              <w:rPr>
                <w:rFonts w:hint="eastAsia"/>
                <w:sz w:val="21"/>
                <w:szCs w:val="21"/>
                <w:lang w:val="en-US" w:eastAsia="zh-CN"/>
              </w:rPr>
              <w:t>1</w:t>
            </w:r>
            <w:r>
              <w:rPr>
                <w:rFonts w:hint="eastAsia"/>
                <w:sz w:val="21"/>
                <w:szCs w:val="21"/>
              </w:rPr>
              <w:t>项，已整改验收合格。</w:t>
            </w:r>
          </w:p>
          <w:p>
            <w:pPr>
              <w:rPr>
                <w:sz w:val="21"/>
                <w:szCs w:val="21"/>
              </w:rPr>
            </w:pPr>
            <w:r>
              <w:rPr>
                <w:rFonts w:hint="eastAsia"/>
                <w:sz w:val="21"/>
                <w:szCs w:val="21"/>
              </w:rPr>
              <w:t>内审报告显示本公司的质量体系均运行良好。</w:t>
            </w:r>
          </w:p>
          <w:p>
            <w:pPr>
              <w:spacing w:line="240" w:lineRule="exact"/>
              <w:rPr>
                <w:rFonts w:ascii="宋体"/>
                <w:b/>
                <w:sz w:val="21"/>
                <w:szCs w:val="21"/>
              </w:rPr>
            </w:pPr>
            <w:r>
              <w:rPr>
                <w:rFonts w:hint="eastAsia"/>
                <w:sz w:val="21"/>
                <w:szCs w:val="21"/>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sz w:val="21"/>
                <w:szCs w:val="21"/>
              </w:rPr>
            </w:pPr>
            <w:r>
              <w:rPr>
                <w:rFonts w:hint="eastAsia"/>
                <w:sz w:val="21"/>
                <w:szCs w:val="21"/>
              </w:rPr>
              <w:t>公司制定了编号：《管理评审控制程序》，文件规定每年至少进行一次管理评审。总经理组织于</w:t>
            </w:r>
            <w:r>
              <w:rPr>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27</w:t>
            </w:r>
            <w:r>
              <w:rPr>
                <w:rFonts w:hint="eastAsia"/>
                <w:sz w:val="21"/>
                <w:szCs w:val="21"/>
              </w:rPr>
              <w:t>日组织进行了一次管理评审。</w:t>
            </w:r>
          </w:p>
          <w:p>
            <w:pPr>
              <w:rPr>
                <w:sz w:val="21"/>
                <w:szCs w:val="21"/>
              </w:rPr>
            </w:pPr>
            <w:r>
              <w:rPr>
                <w:rFonts w:hint="eastAsia"/>
                <w:sz w:val="21"/>
                <w:szCs w:val="21"/>
              </w:rPr>
              <w:t>查《管理评审计划》确定了评审时间、地点、参加人员。规定了评审议题，提出了评审准备工作要求，评审以会议的方式进行。总经理批准。</w:t>
            </w:r>
          </w:p>
          <w:p>
            <w:pPr>
              <w:rPr>
                <w:sz w:val="21"/>
                <w:szCs w:val="21"/>
              </w:rPr>
            </w:pPr>
            <w:r>
              <w:rPr>
                <w:rFonts w:hint="eastAsia"/>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rPr>
                <w:sz w:val="21"/>
                <w:szCs w:val="21"/>
              </w:rPr>
            </w:pPr>
            <w:r>
              <w:rPr>
                <w:rFonts w:hint="eastAsia"/>
                <w:sz w:val="21"/>
                <w:szCs w:val="21"/>
              </w:rPr>
              <w:t>提供《管理评审报告》，对评审情况进行了总结，各部门对各过程和活动进行了总结和讨论。</w:t>
            </w:r>
          </w:p>
          <w:p>
            <w:pPr>
              <w:spacing w:line="240" w:lineRule="auto"/>
              <w:rPr>
                <w:sz w:val="21"/>
                <w:szCs w:val="21"/>
              </w:rPr>
            </w:pPr>
            <w:r>
              <w:rPr>
                <w:rFonts w:hint="eastAsia"/>
                <w:sz w:val="21"/>
                <w:szCs w:val="21"/>
              </w:rPr>
              <w:t>评审结论：自体系建立以来，公司的质量管理体系运行全面展开，通过新版的运行，收到良好的效果，经评审认为本公司的质量管理体系的建立和运行是充分的、适宜的、有效的。已具备了认证审核的条件。</w:t>
            </w:r>
          </w:p>
          <w:p>
            <w:pPr>
              <w:spacing w:line="240" w:lineRule="auto"/>
              <w:rPr>
                <w:sz w:val="21"/>
                <w:szCs w:val="21"/>
              </w:rPr>
            </w:pPr>
            <w:r>
              <w:rPr>
                <w:rFonts w:hint="eastAsia"/>
                <w:sz w:val="21"/>
                <w:szCs w:val="21"/>
              </w:rPr>
              <w:t>改进措施：</w:t>
            </w:r>
          </w:p>
          <w:p>
            <w:pPr>
              <w:numPr>
                <w:ilvl w:val="0"/>
                <w:numId w:val="3"/>
              </w:numPr>
              <w:spacing w:line="240" w:lineRule="auto"/>
              <w:ind w:firstLine="420"/>
              <w:jc w:val="left"/>
              <w:rPr>
                <w:rFonts w:hint="eastAsia" w:ascii="宋体" w:hAnsi="宋体"/>
                <w:color w:val="000000"/>
                <w:sz w:val="21"/>
                <w:szCs w:val="21"/>
              </w:rPr>
            </w:pPr>
            <w:r>
              <w:rPr>
                <w:rFonts w:hint="eastAsia" w:ascii="宋体" w:hAnsi="宋体"/>
                <w:color w:val="000000"/>
                <w:sz w:val="21"/>
                <w:szCs w:val="21"/>
              </w:rPr>
              <w:t>进一步组织对ISO 9001：2015、ISO 1</w:t>
            </w:r>
            <w:r>
              <w:rPr>
                <w:rFonts w:ascii="宋体" w:hAnsi="宋体"/>
                <w:color w:val="000000"/>
                <w:sz w:val="21"/>
                <w:szCs w:val="21"/>
              </w:rPr>
              <w:t>4001</w:t>
            </w:r>
            <w:r>
              <w:rPr>
                <w:rFonts w:hint="eastAsia" w:ascii="宋体" w:hAnsi="宋体"/>
                <w:color w:val="000000"/>
                <w:sz w:val="21"/>
                <w:szCs w:val="21"/>
              </w:rPr>
              <w:t>：2015、ISO45001：2018标准、《管理手册》、《程序文件》的学习和培训，使与管理体系有关的人员了解和掌握标准和本公司管理体系文件的内容</w:t>
            </w:r>
            <w:r>
              <w:rPr>
                <w:rFonts w:hint="eastAsia" w:ascii="宋体" w:hAnsi="宋体"/>
                <w:color w:val="000000"/>
                <w:sz w:val="21"/>
                <w:szCs w:val="21"/>
                <w:lang w:eastAsia="zh-CN"/>
              </w:rPr>
              <w:t>；</w:t>
            </w:r>
          </w:p>
          <w:p>
            <w:pPr>
              <w:numPr>
                <w:ilvl w:val="0"/>
                <w:numId w:val="3"/>
              </w:numPr>
              <w:spacing w:line="240" w:lineRule="auto"/>
              <w:ind w:firstLine="420"/>
              <w:jc w:val="left"/>
              <w:rPr>
                <w:rFonts w:hint="eastAsia" w:ascii="宋体" w:hAnsi="宋体"/>
                <w:color w:val="000000"/>
                <w:sz w:val="21"/>
                <w:szCs w:val="21"/>
              </w:rPr>
            </w:pPr>
            <w:r>
              <w:rPr>
                <w:rFonts w:hint="eastAsia" w:ascii="宋体" w:hAnsi="宋体"/>
                <w:color w:val="000000"/>
                <w:sz w:val="21"/>
                <w:szCs w:val="21"/>
              </w:rPr>
              <w:t>进一步组织对相关的法律、法规、规程和规范的学习，以增强广大技术人员的质量意识环境保护意识；</w:t>
            </w:r>
          </w:p>
          <w:p>
            <w:pPr>
              <w:pStyle w:val="3"/>
              <w:spacing w:line="240" w:lineRule="auto"/>
              <w:ind w:firstLine="420"/>
              <w:jc w:val="left"/>
              <w:rPr>
                <w:rFonts w:hint="eastAsia"/>
                <w:sz w:val="21"/>
                <w:szCs w:val="21"/>
                <w:lang w:eastAsia="zh-CN"/>
              </w:rPr>
            </w:pPr>
            <w:r>
              <w:rPr>
                <w:rFonts w:hint="eastAsia" w:hAnsi="宋体"/>
                <w:color w:val="000000"/>
                <w:sz w:val="21"/>
                <w:szCs w:val="21"/>
                <w:lang w:val="en-US" w:eastAsia="zh-CN"/>
              </w:rPr>
              <w:t>3</w:t>
            </w:r>
            <w:r>
              <w:rPr>
                <w:rFonts w:hint="eastAsia" w:ascii="宋体" w:hAnsi="宋体"/>
                <w:color w:val="000000"/>
                <w:sz w:val="21"/>
                <w:szCs w:val="21"/>
              </w:rPr>
              <w:t>）</w:t>
            </w:r>
            <w:r>
              <w:rPr>
                <w:rFonts w:ascii="宋体" w:hAnsi="宋体"/>
                <w:sz w:val="21"/>
                <w:szCs w:val="21"/>
              </w:rPr>
              <w:t>节能降耗，减少</w:t>
            </w:r>
            <w:r>
              <w:rPr>
                <w:rFonts w:hint="eastAsia" w:ascii="宋体" w:hAnsi="宋体"/>
                <w:sz w:val="21"/>
                <w:szCs w:val="21"/>
              </w:rPr>
              <w:t>生产车间</w:t>
            </w:r>
            <w:r>
              <w:rPr>
                <w:rFonts w:ascii="宋体" w:hAnsi="宋体"/>
                <w:sz w:val="21"/>
                <w:szCs w:val="21"/>
              </w:rPr>
              <w:t>和办公区域资源能源和办公器材消耗量，</w:t>
            </w:r>
            <w:r>
              <w:rPr>
                <w:rFonts w:hint="eastAsia" w:ascii="宋体" w:hAnsi="宋体"/>
                <w:sz w:val="21"/>
                <w:szCs w:val="21"/>
              </w:rPr>
              <w:t>减排增效，</w:t>
            </w:r>
            <w:r>
              <w:rPr>
                <w:rFonts w:ascii="宋体" w:hAnsi="宋体"/>
                <w:sz w:val="21"/>
                <w:szCs w:val="21"/>
              </w:rPr>
              <w:t>确保环境卫生</w:t>
            </w:r>
            <w:r>
              <w:rPr>
                <w:rFonts w:hint="eastAsia"/>
                <w:sz w:val="21"/>
                <w:szCs w:val="21"/>
                <w:lang w:eastAsia="zh-CN"/>
              </w:rPr>
              <w:t>。</w:t>
            </w:r>
          </w:p>
          <w:p>
            <w:pPr>
              <w:spacing w:line="240" w:lineRule="auto"/>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240" w:lineRule="exact"/>
              <w:rPr>
                <w:rFonts w:asci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p>
          <w:p>
            <w:pPr>
              <w:spacing w:line="240" w:lineRule="exact"/>
              <w:rPr>
                <w:rFonts w:hint="eastAsia" w:ascii="宋体" w:eastAsia="宋体"/>
                <w:b/>
                <w:sz w:val="21"/>
                <w:szCs w:val="21"/>
                <w:lang w:val="en-US" w:eastAsia="zh-CN"/>
              </w:rPr>
            </w:pPr>
            <w:r>
              <w:rPr>
                <w:rFonts w:hint="eastAsia" w:asci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hint="eastAsia" w:ascii="宋体" w:hAnsi="宋体"/>
                <w:b/>
                <w:sz w:val="21"/>
                <w:szCs w:val="21"/>
              </w:rPr>
            </w:pPr>
            <w:r>
              <w:rPr>
                <w:rFonts w:hint="eastAsia"/>
                <w:color w:val="000000"/>
                <w:spacing w:val="-20"/>
                <w:sz w:val="20"/>
                <w:szCs w:val="20"/>
              </w:rPr>
              <w:t>已整改完毕。</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10" w:firstLineChars="42"/>
        <w:rPr>
          <w:rFonts w:ascii="宋体"/>
          <w:b/>
          <w:szCs w:val="21"/>
        </w:rPr>
      </w:pPr>
      <w:r>
        <w:rPr>
          <w:rFonts w:hint="eastAsia"/>
          <w:b/>
          <w:sz w:val="26"/>
          <w:szCs w:val="26"/>
        </w:rPr>
        <w:drawing>
          <wp:anchor distT="0" distB="0" distL="114300" distR="114300" simplePos="0" relativeHeight="251663360" behindDoc="0" locked="0" layoutInCell="1" allowOverlap="1">
            <wp:simplePos x="0" y="0"/>
            <wp:positionH relativeFrom="column">
              <wp:posOffset>-536575</wp:posOffset>
            </wp:positionH>
            <wp:positionV relativeFrom="paragraph">
              <wp:posOffset>-433705</wp:posOffset>
            </wp:positionV>
            <wp:extent cx="6198235" cy="12037060"/>
            <wp:effectExtent l="0" t="0" r="12065" b="2540"/>
            <wp:wrapNone/>
            <wp:docPr id="1" name="图片 1" descr="新文档 2020-06-22 17.16.27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6-22 17.16.27_10"/>
                    <pic:cNvPicPr>
                      <a:picLocks noChangeAspect="1"/>
                    </pic:cNvPicPr>
                  </pic:nvPicPr>
                  <pic:blipFill>
                    <a:blip r:embed="rId6"/>
                    <a:stretch>
                      <a:fillRect/>
                    </a:stretch>
                  </pic:blipFill>
                  <pic:spPr>
                    <a:xfrm>
                      <a:off x="0" y="0"/>
                      <a:ext cx="6198235" cy="12037060"/>
                    </a:xfrm>
                    <a:prstGeom prst="rect">
                      <a:avLst/>
                    </a:prstGeom>
                  </pic:spPr>
                </pic:pic>
              </a:graphicData>
            </a:graphic>
          </wp:anchor>
        </w:drawing>
      </w: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pict>
          <v:line id="直接连接符 1" o:spid="_x0000_s2053"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b/>
                <w:szCs w:val="21"/>
              </w:rPr>
            </w:pPr>
          </w:p>
          <w:p>
            <w:pPr>
              <w:spacing w:line="280" w:lineRule="exact"/>
              <w:ind w:firstLine="210" w:firstLineChars="100"/>
              <w:rPr>
                <w:rFonts w:ascii="宋体"/>
                <w:b/>
                <w:sz w:val="21"/>
                <w:szCs w:val="21"/>
              </w:rPr>
            </w:pPr>
            <w:r>
              <w:rPr>
                <w:rFonts w:hint="eastAsia" w:ascii="宋体" w:hAnsi="宋体" w:cs="宋体"/>
                <w:bCs/>
                <w:sz w:val="21"/>
                <w:szCs w:val="21"/>
              </w:rPr>
              <w:t>组织建立并实施的管理体系基本符合标准要求，可能存在的重要风险可以得到有效控制，没有出现</w:t>
            </w:r>
            <w:r>
              <w:rPr>
                <w:rFonts w:hint="eastAsia" w:ascii="宋体" w:hAnsi="宋体" w:cs="宋体"/>
                <w:bCs/>
                <w:sz w:val="21"/>
                <w:szCs w:val="21"/>
                <w:lang w:eastAsia="zh-CN"/>
              </w:rPr>
              <w:t>质量</w:t>
            </w:r>
            <w:r>
              <w:rPr>
                <w:rFonts w:hint="eastAsia" w:ascii="宋体" w:hAnsi="宋体" w:cs="宋体"/>
                <w:bCs/>
                <w:sz w:val="21"/>
                <w:szCs w:val="21"/>
              </w:rPr>
              <w:t>事故以及顾客投诉事件发生，体系运行基本有效，组织初步建立了自我完善和自我改进机制。现场开具的不符合项在规定的期限内采取纠正措施并经审核组书面验证有效后，同意推荐</w:t>
            </w:r>
            <w:r>
              <w:rPr>
                <w:rFonts w:hint="eastAsia" w:ascii="宋体" w:hAnsi="宋体" w:cs="宋体"/>
                <w:bCs/>
                <w:sz w:val="21"/>
                <w:szCs w:val="21"/>
                <w:lang w:val="en-US" w:eastAsia="zh-CN"/>
              </w:rPr>
              <w:t>保持</w:t>
            </w:r>
            <w:r>
              <w:rPr>
                <w:rFonts w:hint="eastAsia" w:ascii="宋体" w:hAnsi="宋体" w:cs="宋体"/>
                <w:bCs/>
                <w:sz w:val="21"/>
                <w:szCs w:val="21"/>
              </w:rPr>
              <w:t>注册。</w:t>
            </w:r>
          </w:p>
          <w:p>
            <w:pPr>
              <w:spacing w:line="280" w:lineRule="exact"/>
              <w:ind w:firstLine="211" w:firstLineChars="100"/>
              <w:rPr>
                <w:rFonts w:ascii="宋体"/>
                <w:b/>
                <w:sz w:val="21"/>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bookmarkStart w:id="30" w:name="_GoBack"/>
      <w:r>
        <w:rPr>
          <w:rFonts w:hint="eastAsia"/>
          <w:b/>
          <w:bCs/>
          <w:sz w:val="21"/>
          <w:szCs w:val="21"/>
        </w:rPr>
        <w:drawing>
          <wp:anchor distT="0" distB="0" distL="114300" distR="114300" simplePos="0" relativeHeight="251664384" behindDoc="0" locked="0" layoutInCell="1" allowOverlap="1">
            <wp:simplePos x="0" y="0"/>
            <wp:positionH relativeFrom="column">
              <wp:posOffset>-815975</wp:posOffset>
            </wp:positionH>
            <wp:positionV relativeFrom="paragraph">
              <wp:posOffset>-184785</wp:posOffset>
            </wp:positionV>
            <wp:extent cx="6518910" cy="9001760"/>
            <wp:effectExtent l="0" t="0" r="8890" b="2540"/>
            <wp:wrapNone/>
            <wp:docPr id="4" name="图片 4" descr="c0a9599beeff930bea0800d0a84e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0a9599beeff930bea0800d0a84e871"/>
                    <pic:cNvPicPr>
                      <a:picLocks noChangeAspect="1"/>
                    </pic:cNvPicPr>
                  </pic:nvPicPr>
                  <pic:blipFill>
                    <a:blip r:embed="rId7"/>
                    <a:stretch>
                      <a:fillRect/>
                    </a:stretch>
                  </pic:blipFill>
                  <pic:spPr>
                    <a:xfrm>
                      <a:off x="0" y="0"/>
                      <a:ext cx="6518910" cy="9001760"/>
                    </a:xfrm>
                    <a:prstGeom prst="rect">
                      <a:avLst/>
                    </a:prstGeom>
                  </pic:spPr>
                </pic:pic>
              </a:graphicData>
            </a:graphic>
          </wp:anchor>
        </w:drawing>
      </w:r>
      <w:bookmarkEnd w:id="30"/>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4752305"/>
    <w:multiLevelType w:val="singleLevel"/>
    <w:tmpl w:val="44752305"/>
    <w:lvl w:ilvl="0" w:tentative="0">
      <w:start w:val="1"/>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A65F2"/>
    <w:rsid w:val="23127843"/>
    <w:rsid w:val="352C449C"/>
    <w:rsid w:val="46413E6F"/>
    <w:rsid w:val="62312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80"/>
    </w:pPr>
    <w:rPr>
      <w:rFonts w:ascii="宋体"/>
      <w:sz w:val="24"/>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2020-06-28T03:34:03Z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