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center"/>
        <w:rPr>
          <w:rFonts w:ascii="宋体" w:hAnsi="宋体"/>
          <w:sz w:val="24"/>
          <w:u w:val="single"/>
        </w:rPr>
      </w:pPr>
      <w:bookmarkStart w:id="10" w:name="_GoBack"/>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四川川顶科技有限公司</w:t>
      </w:r>
      <w:bookmarkEnd w:id="1"/>
    </w:p>
    <w:p>
      <w:pPr>
        <w:spacing w:line="360" w:lineRule="auto"/>
        <w:jc w:val="center"/>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0107-2019-2020</w:t>
      </w:r>
      <w:bookmarkEnd w:id="2"/>
    </w:p>
    <w:p>
      <w:pPr>
        <w:spacing w:line="360" w:lineRule="auto"/>
        <w:jc w:val="center"/>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bookmarkEnd w:id="10"/>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0107-2019-2020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291"/>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四川川顶科技有限公司</w:t>
            </w:r>
            <w:bookmarkEnd w:id="4"/>
          </w:p>
        </w:tc>
        <w:tc>
          <w:tcPr>
            <w:tcW w:w="12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5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李健铭</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ISC-2019-0464</w:t>
            </w:r>
            <w:bookmarkEnd w:id="6"/>
          </w:p>
        </w:tc>
        <w:tc>
          <w:tcPr>
            <w:tcW w:w="12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5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2024-08-04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第一次</w:t>
            </w:r>
          </w:p>
        </w:tc>
        <w:tc>
          <w:tcPr>
            <w:tcW w:w="12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52"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2020年06月22日 上午</w:t>
            </w:r>
            <w:bookmarkEnd w:id="8"/>
            <w:r>
              <w:rPr>
                <w:rFonts w:hint="eastAsia" w:cs="宋体" w:asciiTheme="minorEastAsia" w:hAnsiTheme="minorEastAsia"/>
                <w:kern w:val="0"/>
                <w:szCs w:val="21"/>
                <w:lang w:val="en-US" w:eastAsia="zh-CN"/>
              </w:rPr>
              <w:t>质06月22日下午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pct10" w:color="auto" w:fill="FFFFFF"/>
              </w:rPr>
            </w:pPr>
            <w:r>
              <w:rPr>
                <w:rFonts w:hint="eastAsia"/>
                <w:color w:val="000000"/>
                <w:szCs w:val="21"/>
                <w:shd w:val="pct10" w:color="auto" w:fill="FFFFFF"/>
                <w:lang w:val="en-US" w:eastAsia="zh-CN"/>
              </w:rPr>
              <w:t>孙保健-</w:t>
            </w:r>
            <w:r>
              <w:rPr>
                <w:color w:val="000000"/>
                <w:szCs w:val="21"/>
                <w:shd w:val="pct10" w:color="auto" w:fill="FFFFFF"/>
              </w:rPr>
              <w:t>中认协评[2020]44 号ISC[S]0176</w:t>
            </w:r>
          </w:p>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olor w:val="000000"/>
                <w:szCs w:val="21"/>
                <w:shd w:val="pct10" w:color="auto" w:fill="FFFFFF"/>
                <w:lang w:val="en-US" w:eastAsia="zh-CN"/>
              </w:rPr>
              <w:t>胡琳 -</w:t>
            </w:r>
            <w:r>
              <w:rPr>
                <w:color w:val="000000"/>
                <w:szCs w:val="21"/>
                <w:shd w:val="pct10" w:color="auto" w:fill="FFFFFF"/>
              </w:rPr>
              <w:t>中认协评[2019]228号ISC[S]0373</w:t>
            </w:r>
          </w:p>
        </w:tc>
        <w:tc>
          <w:tcPr>
            <w:tcW w:w="12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52" w:type="dxa"/>
          </w:tcPr>
          <w:p>
            <w:pPr>
              <w:tabs>
                <w:tab w:val="left" w:pos="880"/>
              </w:tabs>
              <w:autoSpaceDE w:val="0"/>
              <w:autoSpaceDN w:val="0"/>
              <w:adjustRightInd w:val="0"/>
              <w:spacing w:before="35" w:line="360" w:lineRule="auto"/>
              <w:ind w:right="161"/>
              <w:rPr>
                <w:rFonts w:hint="default" w:cs="宋体" w:asciiTheme="minorEastAsia" w:hAnsiTheme="minorEastAsia"/>
                <w:kern w:val="0"/>
                <w:szCs w:val="21"/>
                <w:lang w:val="en-US"/>
              </w:rPr>
            </w:pPr>
            <w:r>
              <w:rPr>
                <w:rFonts w:hint="eastAsia" w:cs="宋体" w:asciiTheme="minorEastAsia" w:hAnsiTheme="minorEastAsia"/>
                <w:kern w:val="0"/>
                <w:szCs w:val="21"/>
                <w:lang w:val="en-US" w:eastAsia="zh-CN"/>
              </w:rPr>
              <w:t>生产部，技质部、采购部，业务部，行政部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cs="宋体" w:asciiTheme="minorEastAsia" w:hAnsiTheme="minorEastAsia"/>
          <w:bCs/>
          <w:kern w:val="0"/>
          <w:szCs w:val="21"/>
        </w:rPr>
        <w:t>.</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cs="宋体" w:asciiTheme="minorEastAsia" w:hAnsiTheme="minorEastAsia"/>
          <w:kern w:val="0"/>
          <w:szCs w:val="21"/>
        </w:rPr>
        <w:t>四川川顶科技有限公司</w:t>
      </w: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企业</w:t>
      </w:r>
      <w:r>
        <w:rPr>
          <w:rFonts w:hint="eastAsia" w:cs="宋体" w:asciiTheme="minorEastAsia" w:hAnsiTheme="minorEastAsia"/>
          <w:bCs/>
          <w:kern w:val="0"/>
          <w:szCs w:val="21"/>
        </w:rPr>
        <w:t>产品质量稳步上升</w:t>
      </w:r>
      <w:r>
        <w:rPr>
          <w:rFonts w:hint="eastAsia" w:cs="宋体" w:asciiTheme="minorEastAsia" w:hAnsiTheme="minorEastAsia"/>
          <w:bCs/>
          <w:kern w:val="0"/>
          <w:szCs w:val="21"/>
          <w:lang w:val="en-US" w:eastAsia="zh-CN"/>
        </w:rPr>
        <w:t>产能进一步扩大</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完善，顾客满意度</w:t>
      </w:r>
      <w:r>
        <w:rPr>
          <w:rFonts w:hint="eastAsia" w:cs="宋体" w:asciiTheme="minorEastAsia" w:hAnsiTheme="minorEastAsia"/>
          <w:bCs/>
          <w:kern w:val="0"/>
          <w:szCs w:val="21"/>
          <w:lang w:eastAsia="zh-CN"/>
        </w:rPr>
        <w:t>有所</w:t>
      </w:r>
      <w:r>
        <w:rPr>
          <w:rFonts w:hint="eastAsia" w:cs="宋体" w:asciiTheme="minorEastAsia" w:hAnsiTheme="minorEastAsia"/>
          <w:bCs/>
          <w:kern w:val="0"/>
          <w:szCs w:val="21"/>
        </w:rPr>
        <w:t>提高</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未见违反法律、法规问题或重大质量事故发生。</w:t>
      </w:r>
    </w:p>
    <w:p>
      <w:pPr>
        <w:keepNext w:val="0"/>
        <w:keepLines w:val="0"/>
        <w:pageBreakBefore w:val="0"/>
        <w:widowControl/>
        <w:numPr>
          <w:ilvl w:val="0"/>
          <w:numId w:val="1"/>
        </w:numPr>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cs="宋体" w:asciiTheme="minorEastAsia" w:hAnsiTheme="minorEastAsia"/>
          <w:bCs/>
          <w:kern w:val="0"/>
          <w:szCs w:val="21"/>
        </w:rPr>
        <w:t>监督审核过程简述：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ascii="宋体" w:hAnsi="宋体" w:cs="宋体"/>
          <w:bCs/>
          <w:color w:val="000000" w:themeColor="text1"/>
          <w:kern w:val="0"/>
          <w:sz w:val="21"/>
          <w:szCs w:val="21"/>
          <w14:textFill>
            <w14:solidFill>
              <w14:schemeClr w14:val="tx1"/>
            </w14:solidFill>
          </w14:textFill>
        </w:rPr>
        <w:t>为有效评价</w:t>
      </w:r>
      <w:r>
        <w:rPr>
          <w:rFonts w:cs="宋体" w:asciiTheme="minorEastAsia" w:hAnsiTheme="minorEastAsia"/>
          <w:kern w:val="0"/>
          <w:szCs w:val="21"/>
        </w:rPr>
        <w:t>四川川顶科技有限公司</w:t>
      </w:r>
      <w:r>
        <w:rPr>
          <w:rFonts w:hint="eastAsia" w:ascii="宋体" w:hAnsi="宋体" w:cs="宋体"/>
          <w:bCs/>
          <w:color w:val="000000" w:themeColor="text1"/>
          <w:kern w:val="0"/>
          <w:sz w:val="21"/>
          <w:szCs w:val="21"/>
          <w14:textFill>
            <w14:solidFill>
              <w14:schemeClr w14:val="tx1"/>
            </w14:solidFill>
          </w14:textFill>
        </w:rPr>
        <w:t>测量管理体系认证后一年以来运行情况，在</w:t>
      </w:r>
      <w:r>
        <w:rPr>
          <w:rFonts w:hint="eastAsia" w:ascii="宋体" w:hAnsi="宋体" w:cs="宋体"/>
          <w:bCs/>
          <w:color w:val="000000" w:themeColor="text1"/>
          <w:kern w:val="0"/>
          <w:sz w:val="21"/>
          <w:szCs w:val="21"/>
          <w:lang w:eastAsia="zh-CN"/>
          <w14:textFill>
            <w14:solidFill>
              <w14:schemeClr w14:val="tx1"/>
            </w14:solidFill>
          </w14:textFill>
        </w:rPr>
        <w:t>此次</w:t>
      </w:r>
      <w:r>
        <w:rPr>
          <w:rFonts w:hint="eastAsia" w:ascii="宋体" w:hAnsi="宋体" w:cs="宋体"/>
          <w:bCs/>
          <w:color w:val="000000" w:themeColor="text1"/>
          <w:kern w:val="0"/>
          <w:sz w:val="21"/>
          <w:szCs w:val="21"/>
          <w14:textFill>
            <w14:solidFill>
              <w14:schemeClr w14:val="tx1"/>
            </w14:solidFill>
          </w14:textFill>
        </w:rPr>
        <w:t>现场审核中，审核组先后抽样检查了</w:t>
      </w:r>
      <w:r>
        <w:rPr>
          <w:rFonts w:hint="eastAsia" w:cs="宋体" w:asciiTheme="minorEastAsia" w:hAnsiTheme="minorEastAsia"/>
          <w:kern w:val="0"/>
          <w:szCs w:val="21"/>
          <w:lang w:val="en-US" w:eastAsia="zh-CN"/>
        </w:rPr>
        <w:t>生产部，技质部、采购部，业务部，行政部</w:t>
      </w:r>
      <w:r>
        <w:rPr>
          <w:rFonts w:hint="eastAsia" w:cs="宋体" w:asciiTheme="minorEastAsia" w:hAnsiTheme="minorEastAsia"/>
          <w:bCs/>
          <w:kern w:val="0"/>
          <w:szCs w:val="21"/>
          <w:lang w:eastAsia="zh-CN"/>
        </w:rPr>
        <w:t>等</w:t>
      </w:r>
      <w:r>
        <w:rPr>
          <w:rFonts w:hint="eastAsia" w:cs="宋体" w:asciiTheme="minorEastAsia" w:hAnsiTheme="minorEastAsia"/>
          <w:bCs/>
          <w:kern w:val="0"/>
          <w:szCs w:val="21"/>
          <w:lang w:val="en-US" w:eastAsia="zh-CN"/>
        </w:rPr>
        <w:t>部门。企业实现了计量器具完好率97%，配备率100%的计量目标；对测量、仪器仪表管理、计量员等岗位人员进行了培训；计量设备管理已日常化，制定的各岗位工作流程，使生产过程中的测量点及检查参数更加明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ascii="方正仿宋简体" w:hAnsi="宋体" w:eastAsia="方正仿宋简体"/>
          <w:sz w:val="32"/>
          <w:szCs w:val="32"/>
          <w:lang w:eastAsia="zh-CN"/>
        </w:rPr>
      </w:pPr>
      <w:r>
        <w:rPr>
          <w:rFonts w:cs="宋体" w:asciiTheme="minorEastAsia" w:hAnsiTheme="minorEastAsia"/>
          <w:kern w:val="0"/>
          <w:szCs w:val="21"/>
        </w:rPr>
        <w:t>四川川顶科技有限公司</w:t>
      </w:r>
      <w:r>
        <w:rPr>
          <w:rFonts w:hint="eastAsia" w:ascii="宋体" w:hAnsi="宋体" w:cs="宋体"/>
          <w:bCs/>
          <w:color w:val="000000" w:themeColor="text1"/>
          <w:kern w:val="0"/>
          <w:sz w:val="21"/>
          <w:szCs w:val="21"/>
          <w:lang w:eastAsia="zh-CN"/>
          <w14:textFill>
            <w14:solidFill>
              <w14:schemeClr w14:val="tx1"/>
            </w14:solidFill>
          </w14:textFill>
        </w:rPr>
        <w:t>保持并完善的</w:t>
      </w:r>
      <w:r>
        <w:rPr>
          <w:rFonts w:hint="eastAsia" w:ascii="宋体" w:hAnsi="宋体" w:cs="宋体"/>
          <w:bCs/>
          <w:color w:val="000000" w:themeColor="text1"/>
          <w:kern w:val="0"/>
          <w:sz w:val="21"/>
          <w:szCs w:val="21"/>
          <w14:textFill>
            <w14:solidFill>
              <w14:schemeClr w14:val="tx1"/>
            </w14:solidFill>
          </w14:textFill>
        </w:rPr>
        <w:t>测量管理体系</w:t>
      </w:r>
      <w:r>
        <w:rPr>
          <w:rFonts w:hint="eastAsia" w:ascii="宋体" w:hAnsi="宋体" w:cs="宋体"/>
          <w:bCs/>
          <w:color w:val="000000" w:themeColor="text1"/>
          <w:kern w:val="0"/>
          <w:sz w:val="21"/>
          <w:szCs w:val="21"/>
          <w:lang w:eastAsia="zh-CN"/>
          <w14:textFill>
            <w14:solidFill>
              <w14:schemeClr w14:val="tx1"/>
            </w14:solidFill>
          </w14:textFill>
        </w:rPr>
        <w:t>，适</w:t>
      </w:r>
      <w:r>
        <w:rPr>
          <w:rFonts w:hint="eastAsia" w:ascii="宋体" w:hAnsi="宋体" w:cs="宋体"/>
          <w:bCs/>
          <w:color w:val="000000" w:themeColor="text1"/>
          <w:kern w:val="0"/>
          <w:sz w:val="21"/>
          <w:szCs w:val="21"/>
          <w14:textFill>
            <w14:solidFill>
              <w14:schemeClr w14:val="tx1"/>
            </w14:solidFill>
          </w14:textFill>
        </w:rPr>
        <w:t>合</w:t>
      </w:r>
      <w:r>
        <w:rPr>
          <w:rFonts w:hint="eastAsia" w:ascii="宋体" w:hAnsi="宋体" w:cs="宋体"/>
          <w:bCs/>
          <w:color w:val="000000" w:themeColor="text1"/>
          <w:kern w:val="0"/>
          <w:sz w:val="21"/>
          <w:szCs w:val="21"/>
          <w:lang w:eastAsia="zh-CN"/>
          <w14:textFill>
            <w14:solidFill>
              <w14:schemeClr w14:val="tx1"/>
            </w14:solidFill>
          </w14:textFill>
        </w:rPr>
        <w:t>企业发展，</w:t>
      </w:r>
      <w:r>
        <w:rPr>
          <w:rFonts w:hint="eastAsia" w:ascii="宋体" w:hAnsi="宋体" w:cs="宋体"/>
          <w:bCs/>
          <w:color w:val="000000" w:themeColor="text1"/>
          <w:kern w:val="0"/>
          <w:sz w:val="21"/>
          <w:szCs w:val="21"/>
          <w14:textFill>
            <w14:solidFill>
              <w14:schemeClr w14:val="tx1"/>
            </w14:solidFill>
          </w14:textFill>
        </w:rPr>
        <w:t>符合GB/T 19022-2003标准要求</w:t>
      </w:r>
      <w:r>
        <w:rPr>
          <w:rFonts w:hint="eastAsia" w:ascii="宋体" w:hAnsi="宋体" w:cs="宋体"/>
          <w:bCs/>
          <w:color w:val="000000" w:themeColor="text1"/>
          <w:kern w:val="0"/>
          <w:sz w:val="21"/>
          <w:szCs w:val="21"/>
          <w:lang w:eastAsia="zh-CN"/>
          <w14:textFill>
            <w14:solidFill>
              <w14:schemeClr w14:val="tx1"/>
            </w14:solidFill>
          </w14:textFill>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ascii="宋体"/>
          <w:sz w:val="21"/>
          <w:szCs w:val="21"/>
        </w:rPr>
      </w:pPr>
      <w:r>
        <w:rPr>
          <w:rFonts w:ascii="宋体" w:hAnsi="宋体" w:cs="宋体"/>
          <w:bCs/>
          <w:kern w:val="0"/>
          <w:sz w:val="21"/>
          <w:szCs w:val="21"/>
        </w:rPr>
        <w:t>3.1</w:t>
      </w:r>
      <w:r>
        <w:rPr>
          <w:rFonts w:hint="eastAsia" w:ascii="宋体" w:hAnsi="宋体"/>
          <w:sz w:val="21"/>
          <w:szCs w:val="21"/>
        </w:rPr>
        <w:t>公司的测量体系内审：</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为了充分验证该企业测量管理体系运行的符合性、有效性及持续改进，根据该企业2020年度测量管理体系审核工作安排，</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05</w:t>
      </w:r>
      <w:r>
        <w:rPr>
          <w:rFonts w:hint="eastAsia" w:ascii="宋体" w:hAnsi="宋体"/>
          <w:szCs w:val="21"/>
        </w:rPr>
        <w:t>月</w:t>
      </w:r>
      <w:r>
        <w:rPr>
          <w:rFonts w:hint="eastAsia" w:ascii="宋体" w:hAnsi="宋体"/>
          <w:szCs w:val="21"/>
          <w:lang w:val="en-US" w:eastAsia="zh-CN"/>
        </w:rPr>
        <w:t>23</w:t>
      </w:r>
      <w:r>
        <w:rPr>
          <w:rFonts w:hint="eastAsia" w:ascii="宋体" w:hAnsi="宋体"/>
          <w:color w:val="000000"/>
          <w:szCs w:val="21"/>
        </w:rPr>
        <w:t>日</w:t>
      </w:r>
      <w:r>
        <w:rPr>
          <w:rFonts w:hint="eastAsia" w:ascii="宋体" w:hAnsi="宋体" w:cs="宋体"/>
          <w:bCs/>
          <w:kern w:val="0"/>
          <w:szCs w:val="21"/>
          <w:lang w:val="en-US" w:eastAsia="zh-CN"/>
        </w:rPr>
        <w:t>，按照本企业</w:t>
      </w:r>
      <w:r>
        <w:rPr>
          <w:rFonts w:hint="eastAsia" w:cs="宋体" w:asciiTheme="minorEastAsia" w:hAnsiTheme="minorEastAsia"/>
          <w:bCs/>
          <w:kern w:val="0"/>
          <w:szCs w:val="21"/>
          <w:lang w:val="en-US" w:eastAsia="zh-CN"/>
        </w:rPr>
        <w:t>《测量管理手册</w:t>
      </w:r>
      <w:r>
        <w:rPr>
          <w:rFonts w:hint="eastAsia" w:ascii="宋体" w:hAnsi="宋体" w:eastAsia="宋体" w:cs="宋体"/>
          <w:bCs/>
          <w:kern w:val="0"/>
          <w:szCs w:val="21"/>
          <w:lang w:val="en-US" w:eastAsia="zh-CN"/>
        </w:rPr>
        <w:t>》</w:t>
      </w:r>
      <w:r>
        <w:rPr>
          <w:rFonts w:hint="eastAsia" w:cs="宋体" w:asciiTheme="minorEastAsia" w:hAnsiTheme="minorEastAsia"/>
          <w:bCs/>
          <w:kern w:val="0"/>
          <w:szCs w:val="21"/>
          <w:lang w:val="en-US" w:eastAsia="zh-CN"/>
        </w:rPr>
        <w:t>的要求组织了内部审核，组长</w:t>
      </w:r>
      <w:r>
        <w:rPr>
          <w:rFonts w:cs="宋体" w:asciiTheme="minorEastAsia" w:hAnsiTheme="minorEastAsia"/>
          <w:kern w:val="0"/>
          <w:szCs w:val="21"/>
        </w:rPr>
        <w:t>李健铭</w:t>
      </w:r>
      <w:r>
        <w:rPr>
          <w:rFonts w:hint="eastAsia" w:cs="宋体" w:asciiTheme="minorEastAsia" w:hAnsiTheme="minorEastAsia"/>
          <w:kern w:val="0"/>
          <w:szCs w:val="21"/>
          <w:lang w:val="en-US" w:eastAsia="zh-CN"/>
        </w:rPr>
        <w:t>编</w:t>
      </w:r>
      <w:r>
        <w:rPr>
          <w:rFonts w:hint="eastAsia" w:cs="宋体" w:asciiTheme="minorEastAsia" w:hAnsiTheme="minorEastAsia"/>
          <w:bCs/>
          <w:kern w:val="0"/>
          <w:szCs w:val="21"/>
          <w:lang w:val="en-US" w:eastAsia="zh-CN"/>
        </w:rPr>
        <w:t>写了具体审核计划，内审员编写了内审检查表，明确了审核要点、审核方法；本次涉及到所有与质量、计量、能源有关的部门、人员、场所、活动。审核共开具次要不符合项 1项,对内审发现的问题，制定了有效的纠正措施。所有不符合项已完成整改。</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3.2</w:t>
      </w:r>
      <w:r>
        <w:rPr>
          <w:rFonts w:hint="eastAsia" w:ascii="宋体" w:hAnsi="宋体"/>
          <w:color w:val="000000" w:themeColor="text1"/>
          <w:sz w:val="21"/>
          <w:szCs w:val="21"/>
          <w14:textFill>
            <w14:solidFill>
              <w14:schemeClr w14:val="tx1"/>
            </w14:solidFill>
          </w14:textFill>
        </w:rPr>
        <w:t>、的测量体系管理评审：</w:t>
      </w:r>
    </w:p>
    <w:p>
      <w:pPr>
        <w:spacing w:line="400" w:lineRule="exact"/>
        <w:rPr>
          <w:szCs w:val="21"/>
        </w:rPr>
      </w:pP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20</w:t>
      </w:r>
      <w:r>
        <w:rPr>
          <w:rFonts w:hint="eastAsia" w:ascii="宋体" w:hAnsi="宋体"/>
          <w:color w:val="000000" w:themeColor="text1"/>
          <w:sz w:val="21"/>
          <w:szCs w:val="21"/>
          <w:lang w:val="en-US" w:eastAsia="zh-CN"/>
          <w14:textFill>
            <w14:solidFill>
              <w14:schemeClr w14:val="tx1"/>
            </w14:solidFill>
          </w14:textFill>
        </w:rPr>
        <w:t>20</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lang w:val="en-US" w:eastAsia="zh-CN"/>
          <w14:textFill>
            <w14:solidFill>
              <w14:schemeClr w14:val="tx1"/>
            </w14:solidFill>
          </w14:textFill>
        </w:rPr>
        <w:t>05</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30</w:t>
      </w:r>
      <w:r>
        <w:rPr>
          <w:rFonts w:hint="eastAsia" w:ascii="宋体" w:hAnsi="宋体"/>
          <w:color w:val="000000" w:themeColor="text1"/>
          <w:sz w:val="21"/>
          <w:szCs w:val="21"/>
          <w14:textFill>
            <w14:solidFill>
              <w14:schemeClr w14:val="tx1"/>
            </w14:solidFill>
          </w14:textFill>
        </w:rPr>
        <w:t>日进行了20</w:t>
      </w:r>
      <w:r>
        <w:rPr>
          <w:rFonts w:hint="eastAsia" w:ascii="宋体" w:hAnsi="宋体"/>
          <w:color w:val="000000" w:themeColor="text1"/>
          <w:sz w:val="21"/>
          <w:szCs w:val="21"/>
          <w:lang w:val="en-US" w:eastAsia="zh-CN"/>
          <w14:textFill>
            <w14:solidFill>
              <w14:schemeClr w14:val="tx1"/>
            </w14:solidFill>
          </w14:textFill>
        </w:rPr>
        <w:t>20</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lang w:val="en-US" w:eastAsia="zh-CN"/>
          <w14:textFill>
            <w14:solidFill>
              <w14:schemeClr w14:val="tx1"/>
            </w14:solidFill>
          </w14:textFill>
        </w:rPr>
        <w:t>度</w:t>
      </w:r>
      <w:r>
        <w:rPr>
          <w:rFonts w:hint="eastAsia" w:ascii="宋体" w:hAnsi="宋体"/>
          <w:color w:val="000000" w:themeColor="text1"/>
          <w:sz w:val="21"/>
          <w:szCs w:val="21"/>
          <w14:textFill>
            <w14:solidFill>
              <w14:schemeClr w14:val="tx1"/>
            </w14:solidFill>
          </w14:textFill>
        </w:rPr>
        <w:t>管理评审，</w:t>
      </w:r>
      <w:r>
        <w:rPr>
          <w:rFonts w:hint="eastAsia" w:ascii="宋体" w:hAnsi="宋体" w:cs="宋体"/>
          <w:kern w:val="0"/>
          <w:szCs w:val="21"/>
        </w:rPr>
        <w:t>公司总经理</w:t>
      </w:r>
      <w:r>
        <w:rPr>
          <w:rFonts w:hint="eastAsia" w:ascii="宋体" w:hAnsi="宋体" w:cs="宋体"/>
          <w:kern w:val="0"/>
          <w:szCs w:val="21"/>
          <w:lang w:val="en-US" w:eastAsia="zh-CN"/>
        </w:rPr>
        <w:t>范祖田亲自</w:t>
      </w:r>
      <w:r>
        <w:rPr>
          <w:rFonts w:hint="eastAsia"/>
          <w:szCs w:val="21"/>
        </w:rPr>
        <w:t>主持，由公司各部门分别按管理评审输入要求</w:t>
      </w:r>
      <w:r>
        <w:rPr>
          <w:szCs w:val="21"/>
        </w:rPr>
        <w:t>汇报了体系运行</w:t>
      </w:r>
      <w:r>
        <w:rPr>
          <w:rFonts w:hint="eastAsia"/>
          <w:szCs w:val="21"/>
        </w:rPr>
        <w:t>实施及完成</w:t>
      </w:r>
      <w:r>
        <w:rPr>
          <w:szCs w:val="21"/>
        </w:rPr>
        <w:t>情况。</w:t>
      </w:r>
      <w:r>
        <w:rPr>
          <w:rFonts w:hint="eastAsia"/>
          <w:szCs w:val="21"/>
        </w:rPr>
        <w:t>管代</w:t>
      </w:r>
      <w:r>
        <w:rPr>
          <w:rFonts w:hint="eastAsia" w:cs="宋体" w:asciiTheme="minorEastAsia" w:hAnsiTheme="minorEastAsia"/>
          <w:kern w:val="0"/>
          <w:szCs w:val="21"/>
          <w:lang w:val="en-US" w:eastAsia="zh-CN"/>
        </w:rPr>
        <w:t>张小波</w:t>
      </w:r>
      <w:r>
        <w:rPr>
          <w:rFonts w:hint="eastAsia"/>
          <w:szCs w:val="21"/>
        </w:rPr>
        <w:t>总结了测量管理体系的运行情况，并肯定</w:t>
      </w:r>
      <w:r>
        <w:rPr>
          <w:szCs w:val="21"/>
        </w:rPr>
        <w:t>了公司</w:t>
      </w:r>
      <w:r>
        <w:rPr>
          <w:rFonts w:hint="eastAsia"/>
          <w:szCs w:val="21"/>
        </w:rPr>
        <w:t>测量管理体系运行</w:t>
      </w:r>
      <w:r>
        <w:rPr>
          <w:szCs w:val="21"/>
        </w:rPr>
        <w:t>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4.为持续改进而策划的活动的进展 ，包括：</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w:t>
      </w:r>
      <w:r>
        <w:rPr>
          <w:rFonts w:hint="eastAsia" w:cs="宋体" w:asciiTheme="minorEastAsia" w:hAnsiTheme="minorEastAsia"/>
          <w:kern w:val="0"/>
          <w:szCs w:val="21"/>
          <w:lang w:val="en-US" w:eastAsia="zh-CN"/>
        </w:rPr>
        <w:t>20</w:t>
      </w:r>
      <w:r>
        <w:rPr>
          <w:rFonts w:hint="eastAsia" w:cs="宋体" w:asciiTheme="minorEastAsia" w:hAnsiTheme="minorEastAsia"/>
          <w:kern w:val="0"/>
          <w:szCs w:val="21"/>
        </w:rPr>
        <w:t>年质量目标考核细则已确认，并按规定的内容和时间进行考核，年度质量目标完成情况较好；</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bCs/>
          <w:kern w:val="0"/>
          <w:szCs w:val="21"/>
          <w:lang w:val="en-US" w:eastAsia="zh-CN"/>
        </w:rPr>
        <w:t>企业未建立建立计量标准，强制检定计量器具</w:t>
      </w:r>
      <w:r>
        <w:rPr>
          <w:rFonts w:hint="eastAsia" w:ascii="宋体" w:hAnsi="宋体" w:eastAsia="宋体" w:cs="宋体"/>
          <w:bCs/>
          <w:kern w:val="0"/>
          <w:szCs w:val="21"/>
          <w:lang w:val="en-US" w:eastAsia="zh-CN"/>
        </w:rPr>
        <w:t>(2块电能表)</w:t>
      </w:r>
      <w:r>
        <w:rPr>
          <w:rFonts w:hint="eastAsia" w:cs="宋体" w:asciiTheme="minorEastAsia" w:hAnsiTheme="minorEastAsia"/>
          <w:bCs/>
          <w:kern w:val="0"/>
          <w:szCs w:val="21"/>
          <w:lang w:val="en-US" w:eastAsia="zh-CN"/>
        </w:rPr>
        <w:t>强检率100%，一般工作计量器具周检率96.5%。</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lang w:val="en-US" w:eastAsia="zh-CN"/>
        </w:rPr>
        <w:t>4.4</w:t>
      </w:r>
      <w:r>
        <w:rPr>
          <w:rFonts w:hint="eastAsia" w:cs="宋体" w:asciiTheme="minorEastAsia" w:hAnsiTheme="minorEastAsia"/>
          <w:kern w:val="0"/>
          <w:szCs w:val="21"/>
        </w:rPr>
        <w:t>抽查了企业对已识别的关键测量过程：</w:t>
      </w:r>
      <w:r>
        <w:rPr>
          <w:rFonts w:hint="eastAsia" w:ascii="宋体" w:hAnsi="宋体" w:eastAsia="宋体" w:cs="宋体"/>
          <w:kern w:val="0"/>
          <w:szCs w:val="21"/>
        </w:rPr>
        <w:t>《</w:t>
      </w:r>
      <w:r>
        <w:rPr>
          <w:rFonts w:hint="eastAsia"/>
          <w:lang w:eastAsia="zh-CN"/>
        </w:rPr>
        <w:t>热轧薄板厚度测量过程</w:t>
      </w:r>
      <w:r>
        <w:rPr>
          <w:rFonts w:hint="eastAsia" w:ascii="宋体" w:hAnsi="宋体" w:eastAsia="宋体" w:cs="宋体"/>
          <w:lang w:eastAsia="zh-CN"/>
        </w:rPr>
        <w:t>》</w:t>
      </w:r>
      <w:r>
        <w:rPr>
          <w:rFonts w:hint="eastAsia" w:cs="宋体" w:asciiTheme="minorEastAsia" w:hAnsiTheme="minorEastAsia"/>
          <w:bCs/>
          <w:kern w:val="0"/>
          <w:szCs w:val="21"/>
          <w:lang w:val="en-US" w:eastAsia="zh-CN"/>
        </w:rPr>
        <w:t>均能按测量过程控制规范，进行了有效性监视。记录、监视控制图齐全，完整；</w:t>
      </w:r>
      <w:r>
        <w:rPr>
          <w:rFonts w:hint="eastAsia" w:cs="宋体" w:asciiTheme="minorEastAsia" w:hAnsiTheme="minorEastAsia"/>
          <w:kern w:val="0"/>
          <w:szCs w:val="21"/>
        </w:rPr>
        <w:t>抽查了</w:t>
      </w:r>
      <w:r>
        <w:rPr>
          <w:rFonts w:hint="eastAsia" w:ascii="宋体" w:hAnsi="宋体" w:eastAsia="宋体" w:cs="宋体"/>
          <w:kern w:val="0"/>
          <w:szCs w:val="21"/>
        </w:rPr>
        <w:t>《</w:t>
      </w:r>
      <w:r>
        <w:rPr>
          <w:rFonts w:hint="eastAsia"/>
          <w:lang w:eastAsia="zh-CN"/>
        </w:rPr>
        <w:t>热轧薄板厚度测量过程</w:t>
      </w:r>
      <w:r>
        <w:rPr>
          <w:rFonts w:hint="eastAsia" w:ascii="宋体" w:hAnsi="宋体" w:eastAsia="宋体" w:cs="宋体"/>
          <w:lang w:eastAsia="zh-CN"/>
        </w:rPr>
        <w:t>》</w:t>
      </w:r>
      <w:r>
        <w:rPr>
          <w:rFonts w:hint="eastAsia"/>
        </w:rPr>
        <w:t>过程</w:t>
      </w:r>
      <w:r>
        <w:rPr>
          <w:rFonts w:hint="eastAsia" w:cs="宋体" w:asciiTheme="minorEastAsia" w:hAnsiTheme="minorEastAsia"/>
          <w:kern w:val="0"/>
          <w:szCs w:val="21"/>
        </w:rPr>
        <w:t>控制的监视记录，见附页：测量过程监视统计记录表及监视控制图。</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5.对认证审核时提出的的不符合项的纠正措施情况有表述： </w:t>
      </w:r>
    </w:p>
    <w:p>
      <w:pPr>
        <w:pStyle w:val="9"/>
        <w:keepNext w:val="0"/>
        <w:keepLines w:val="0"/>
        <w:pageBreakBefore w:val="0"/>
        <w:widowControl/>
        <w:kinsoku/>
        <w:wordWrap/>
        <w:overflowPunct/>
        <w:topLinePunct w:val="0"/>
        <w:autoSpaceDE/>
        <w:autoSpaceDN/>
        <w:bidi w:val="0"/>
        <w:adjustRightInd w:val="0"/>
        <w:snapToGrid w:val="0"/>
        <w:spacing w:line="480" w:lineRule="exact"/>
        <w:ind w:left="420" w:firstLine="0" w:firstLineChars="0"/>
        <w:jc w:val="left"/>
        <w:textAlignment w:val="auto"/>
        <w:outlineLvl w:val="9"/>
        <w:rPr>
          <w:rFonts w:hint="eastAsia" w:cs="宋体" w:asciiTheme="minorEastAsia" w:hAnsiTheme="minorEastAsia"/>
          <w:bCs/>
          <w:kern w:val="0"/>
          <w:szCs w:val="21"/>
          <w:lang w:val="en-US" w:eastAsia="zh-CN"/>
        </w:rPr>
      </w:pPr>
      <w:r>
        <w:rPr>
          <w:rFonts w:hint="eastAsia" w:cs="宋体"/>
          <w:kern w:val="0"/>
        </w:rPr>
        <w:t>公司已针对上一年度开具的</w:t>
      </w:r>
      <w:r>
        <w:rPr>
          <w:rFonts w:hint="eastAsia" w:cs="宋体"/>
          <w:kern w:val="0"/>
          <w:lang w:val="en-US" w:eastAsia="zh-CN"/>
        </w:rPr>
        <w:t>一个</w:t>
      </w:r>
      <w:r>
        <w:rPr>
          <w:rFonts w:hint="eastAsia" w:cs="宋体"/>
          <w:kern w:val="0"/>
        </w:rPr>
        <w:t>不符合项已采取有效措施，已关闭。</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default" w:cs="宋体" w:asciiTheme="minorEastAsia" w:hAnsiTheme="minorEastAsia"/>
          <w:kern w:val="0"/>
          <w:szCs w:val="21"/>
          <w:lang w:val="en-US" w:eastAsia="zh-CN"/>
        </w:rPr>
      </w:pPr>
      <w:r>
        <w:rPr>
          <w:rFonts w:hint="eastAsia" w:cs="宋体" w:asciiTheme="minorEastAsia" w:hAnsiTheme="minorEastAsia"/>
          <w:kern w:val="0"/>
          <w:szCs w:val="21"/>
        </w:rPr>
        <w:t>该公司</w:t>
      </w:r>
      <w:r>
        <w:rPr>
          <w:rFonts w:hint="eastAsia" w:cs="宋体" w:asciiTheme="minorEastAsia" w:hAnsiTheme="minorEastAsia"/>
          <w:kern w:val="0"/>
          <w:szCs w:val="21"/>
          <w:lang w:val="en-US" w:eastAsia="zh-CN"/>
        </w:rPr>
        <w:t>不</w:t>
      </w:r>
      <w:r>
        <w:rPr>
          <w:rFonts w:hint="eastAsia" w:cs="宋体" w:asciiTheme="minorEastAsia" w:hAnsiTheme="minorEastAsia"/>
          <w:kern w:val="0"/>
          <w:szCs w:val="21"/>
        </w:rPr>
        <w:t>属于重点能耗企业，已经按要求统计公司水电气总能耗</w:t>
      </w:r>
      <w:r>
        <w:rPr>
          <w:rFonts w:hint="eastAsia" w:cs="宋体" w:asciiTheme="minorEastAsia" w:hAnsiTheme="minorEastAsia"/>
          <w:kern w:val="0"/>
          <w:szCs w:val="21"/>
          <w:lang w:eastAsia="zh-CN"/>
        </w:rPr>
        <w:t>，能源计量器具已</w:t>
      </w:r>
      <w:r>
        <w:rPr>
          <w:rFonts w:hint="eastAsia" w:cs="宋体" w:asciiTheme="minorEastAsia" w:hAnsiTheme="minorEastAsia"/>
          <w:kern w:val="0"/>
          <w:szCs w:val="21"/>
          <w:lang w:val="en-US" w:eastAsia="zh-CN"/>
        </w:rPr>
        <w:t>进入</w:t>
      </w:r>
      <w:r>
        <w:rPr>
          <w:rFonts w:hint="eastAsia" w:cs="宋体" w:asciiTheme="minorEastAsia" w:hAnsiTheme="minorEastAsia"/>
          <w:kern w:val="0"/>
          <w:szCs w:val="21"/>
          <w:lang w:eastAsia="zh-CN"/>
        </w:rPr>
        <w:t>台</w:t>
      </w:r>
      <w:r>
        <w:rPr>
          <w:rFonts w:hint="eastAsia" w:cs="宋体" w:asciiTheme="minorEastAsia" w:hAnsiTheme="minorEastAsia"/>
          <w:kern w:val="0"/>
          <w:szCs w:val="21"/>
          <w:lang w:val="en-US" w:eastAsia="zh-CN"/>
        </w:rPr>
        <w:t>帐管理，2019年全年能耗0.0041万吨标煤</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asciiTheme="minorEastAsia" w:hAnsiTheme="minorEastAsia"/>
          <w:bCs/>
          <w:szCs w:val="21"/>
        </w:rPr>
        <w:t>公司《目标管理程序》，规定了公司的计量方针及5项质量目标 ，是管理体系追求的承诺和准则，内容基本覆盖标准要素。公司将质量目标考核细则已纳入</w:t>
      </w:r>
      <w:r>
        <w:rPr>
          <w:rFonts w:hint="eastAsia" w:asciiTheme="minorEastAsia" w:hAnsiTheme="minorEastAsia"/>
          <w:bCs/>
          <w:szCs w:val="21"/>
          <w:lang w:eastAsia="zh-CN"/>
        </w:rPr>
        <w:t>基层</w:t>
      </w:r>
      <w:r>
        <w:rPr>
          <w:rFonts w:hint="eastAsia" w:asciiTheme="minorEastAsia" w:hAnsiTheme="minorEastAsia"/>
          <w:bCs/>
          <w:szCs w:val="21"/>
        </w:rPr>
        <w:t>绩效考核表，进一步体现了实现顾客、质量、服务等方面的要求，符合GB/T 19022-2003标准要求，适应性、有效性及对持续运作的控制。</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keepNext w:val="0"/>
        <w:keepLines w:val="0"/>
        <w:pageBreakBefore w:val="0"/>
        <w:widowControl/>
        <w:kinsoku/>
        <w:wordWrap/>
        <w:overflowPunct/>
        <w:topLinePunct w:val="0"/>
        <w:autoSpaceDE/>
        <w:autoSpaceDN/>
        <w:bidi w:val="0"/>
        <w:adjustRightInd w:val="0"/>
        <w:snapToGrid w:val="0"/>
        <w:spacing w:line="480" w:lineRule="exact"/>
        <w:ind w:firstLine="210" w:firstLineChars="100"/>
        <w:textAlignment w:val="auto"/>
        <w:outlineLvl w:val="9"/>
        <w:rPr>
          <w:rFonts w:hint="default" w:asciiTheme="minorEastAsia" w:hAnsiTheme="minorEastAsia"/>
          <w:bCs/>
          <w:szCs w:val="21"/>
          <w:lang w:val="en-US"/>
        </w:rPr>
      </w:pPr>
      <w:r>
        <w:rPr>
          <w:rFonts w:hint="eastAsia" w:asciiTheme="minorEastAsia" w:hAnsiTheme="minorEastAsia"/>
          <w:bCs/>
          <w:szCs w:val="21"/>
        </w:rPr>
        <w:t>企业在本年度内</w:t>
      </w:r>
      <w:r>
        <w:rPr>
          <w:rFonts w:hint="eastAsia" w:asciiTheme="minorEastAsia" w:hAnsiTheme="minorEastAsia"/>
          <w:bCs/>
          <w:szCs w:val="21"/>
          <w:lang w:val="en-US" w:eastAsia="zh-CN"/>
        </w:rPr>
        <w:t>新增加了道路安全栅</w:t>
      </w:r>
      <w:r>
        <w:rPr>
          <w:rFonts w:hint="eastAsia" w:ascii="宋体" w:hAnsi="宋体" w:eastAsia="宋体" w:cs="宋体"/>
          <w:bCs/>
          <w:szCs w:val="21"/>
          <w:lang w:val="en-US" w:eastAsia="zh-CN"/>
        </w:rPr>
        <w:t>(波形梁钢护栏)</w:t>
      </w:r>
      <w:r>
        <w:rPr>
          <w:rFonts w:hint="eastAsia" w:asciiTheme="minorEastAsia" w:hAnsiTheme="minorEastAsia"/>
          <w:bCs/>
          <w:szCs w:val="21"/>
          <w:lang w:val="en-US" w:eastAsia="zh-CN"/>
        </w:rPr>
        <w:t>的制造。</w:t>
      </w:r>
      <w:r>
        <w:rPr>
          <w:rFonts w:hint="eastAsia" w:ascii="宋体" w:hAnsi="宋体"/>
          <w:bCs/>
          <w:szCs w:val="21"/>
          <w:lang w:val="en-US" w:eastAsia="zh-CN"/>
        </w:rPr>
        <w:t>执行标准为JT/T281-2007</w:t>
      </w:r>
      <w:r>
        <w:rPr>
          <w:rFonts w:hint="eastAsia" w:ascii="宋体" w:hAnsi="宋体" w:eastAsia="宋体" w:cs="宋体"/>
          <w:bCs/>
          <w:szCs w:val="21"/>
          <w:lang w:val="en-US" w:eastAsia="zh-CN"/>
        </w:rPr>
        <w:t>《公路波形梁钢护栏》GB/T31439.1-2015《波形梁钢护栏 第一部分 两波形梁钢护栏》计量要求已导出，测量设备已确认。</w:t>
      </w:r>
      <w:r>
        <w:rPr>
          <w:rFonts w:hint="eastAsia" w:asciiTheme="minorEastAsia" w:hAnsiTheme="minorEastAsia"/>
          <w:bCs/>
          <w:szCs w:val="21"/>
          <w:lang w:val="en-US" w:eastAsia="zh-CN"/>
        </w:rPr>
        <w:t>企业规模进一步扩大注册资本由2000万元增加到5000万元</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1</w:t>
      </w:r>
      <w:r>
        <w:rPr>
          <w:rFonts w:hint="eastAsia" w:ascii="宋体" w:hAnsi="宋体" w:eastAsia="宋体" w:cs="宋体"/>
          <w:kern w:val="0"/>
          <w:szCs w:val="21"/>
        </w:rPr>
        <w:t xml:space="preserve"> 本次监督审核</w:t>
      </w:r>
      <w:r>
        <w:rPr>
          <w:rFonts w:hint="eastAsia" w:ascii="宋体" w:hAnsi="宋体" w:eastAsia="宋体" w:cs="宋体"/>
          <w:kern w:val="0"/>
          <w:szCs w:val="21"/>
          <w:lang w:val="en-US" w:eastAsia="zh-CN"/>
        </w:rPr>
        <w:t>发现了一个</w:t>
      </w:r>
      <w:r>
        <w:rPr>
          <w:rFonts w:hint="eastAsia" w:ascii="宋体" w:hAnsi="宋体" w:eastAsia="宋体" w:cs="宋体"/>
          <w:kern w:val="0"/>
          <w:szCs w:val="21"/>
        </w:rPr>
        <w:t>不符合项，未发现严重的或系统性的不符合情况：</w:t>
      </w:r>
    </w:p>
    <w:p>
      <w:pPr>
        <w:widowControl/>
        <w:spacing w:line="360" w:lineRule="auto"/>
        <w:jc w:val="left"/>
        <w:rPr>
          <w:rFonts w:hint="default" w:ascii="宋体" w:hAnsi="宋体" w:eastAsia="宋体" w:cs="宋体"/>
          <w:color w:val="FF0000"/>
          <w:kern w:val="0"/>
          <w:szCs w:val="21"/>
          <w:lang w:val="en-US" w:eastAsia="zh-CN"/>
        </w:rPr>
      </w:pPr>
      <w:r>
        <w:rPr>
          <w:rFonts w:hint="eastAsia" w:ascii="宋体" w:hAnsi="宋体" w:eastAsia="宋体" w:cs="宋体"/>
          <w:color w:val="auto"/>
          <w:kern w:val="0"/>
          <w:szCs w:val="21"/>
          <w:lang w:val="en-US" w:eastAsia="zh-CN"/>
        </w:rPr>
        <w:t>11.1.1抽查生产部新购的一把(0-5)</w:t>
      </w:r>
      <w:r>
        <w:rPr>
          <w:rFonts w:hint="default" w:ascii="Calibri" w:hAnsi="Calibri" w:eastAsia="宋体" w:cs="Calibri"/>
          <w:color w:val="auto"/>
          <w:kern w:val="0"/>
          <w:szCs w:val="21"/>
          <w:lang w:val="en-US" w:eastAsia="zh-CN"/>
        </w:rPr>
        <w:t>m</w:t>
      </w:r>
      <w:r>
        <w:rPr>
          <w:rFonts w:hint="eastAsia" w:ascii="Calibri" w:hAnsi="Calibri" w:eastAsia="宋体" w:cs="Calibri"/>
          <w:color w:val="auto"/>
          <w:kern w:val="0"/>
          <w:szCs w:val="21"/>
          <w:lang w:val="en-US" w:eastAsia="zh-CN"/>
        </w:rPr>
        <w:t>的钢卷尺</w:t>
      </w:r>
      <w:r>
        <w:rPr>
          <w:rFonts w:hint="eastAsia" w:ascii="宋体" w:hAnsi="宋体" w:eastAsia="宋体" w:cs="宋体"/>
          <w:color w:val="auto"/>
          <w:kern w:val="0"/>
          <w:szCs w:val="21"/>
          <w:lang w:val="en-US" w:eastAsia="zh-CN"/>
        </w:rPr>
        <w:t>时发现该设备没有有效的溯源证书。不符合GB/T19022-2003标准7.3.2条款的要求</w:t>
      </w:r>
      <w:r>
        <w:rPr>
          <w:rFonts w:hint="eastAsia" w:ascii="宋体" w:hAnsi="宋体" w:eastAsia="宋体" w:cs="宋体"/>
          <w:color w:val="FF0000"/>
          <w:kern w:val="0"/>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ascii="宋体" w:hAnsi="宋体" w:eastAsia="宋体" w:cs="宋体"/>
          <w:kern w:val="0"/>
          <w:szCs w:val="28"/>
          <w:lang w:eastAsia="zh-CN"/>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keepNext w:val="0"/>
        <w:keepLines w:val="0"/>
        <w:pageBreakBefore w:val="0"/>
        <w:kinsoku/>
        <w:wordWrap/>
        <w:overflowPunct/>
        <w:topLinePunct w:val="0"/>
        <w:autoSpaceDE/>
        <w:autoSpaceDN/>
        <w:bidi w:val="0"/>
        <w:adjustRightInd w:val="0"/>
        <w:snapToGrid w:val="0"/>
        <w:spacing w:line="480" w:lineRule="exact"/>
        <w:ind w:right="-512" w:rightChars="-244" w:firstLine="480"/>
        <w:textAlignment w:val="auto"/>
        <w:outlineLvl w:val="9"/>
        <w:rPr>
          <w:rFonts w:hint="eastAsia" w:ascii="宋体" w:hAnsi="宋体"/>
          <w:color w:val="000000" w:themeColor="text1"/>
          <w:sz w:val="21"/>
          <w:szCs w:val="21"/>
          <w14:textFill>
            <w14:solidFill>
              <w14:schemeClr w14:val="tx1"/>
            </w14:solidFill>
          </w14:textFill>
        </w:rPr>
      </w:pPr>
      <w:r>
        <w:rPr>
          <w:rStyle w:val="10"/>
          <w:rFonts w:hint="eastAsia" w:ascii="宋体" w:hAnsi="宋体" w:eastAsia="宋体"/>
          <w:color w:val="000000" w:themeColor="text1"/>
          <w:sz w:val="21"/>
          <w:szCs w:val="21"/>
          <w14:textFill>
            <w14:solidFill>
              <w14:schemeClr w14:val="tx1"/>
            </w14:solidFill>
          </w14:textFill>
        </w:rPr>
        <w:t>通过20</w:t>
      </w:r>
      <w:r>
        <w:rPr>
          <w:rStyle w:val="10"/>
          <w:rFonts w:hint="eastAsia" w:ascii="宋体" w:hAnsi="宋体" w:eastAsia="宋体"/>
          <w:color w:val="000000" w:themeColor="text1"/>
          <w:sz w:val="21"/>
          <w:szCs w:val="21"/>
          <w:lang w:val="en-US" w:eastAsia="zh-CN"/>
          <w14:textFill>
            <w14:solidFill>
              <w14:schemeClr w14:val="tx1"/>
            </w14:solidFill>
          </w14:textFill>
        </w:rPr>
        <w:t>20</w:t>
      </w:r>
      <w:r>
        <w:rPr>
          <w:rStyle w:val="10"/>
          <w:rFonts w:ascii="宋体" w:hAnsi="宋体" w:eastAsia="宋体"/>
          <w:color w:val="000000" w:themeColor="text1"/>
          <w:sz w:val="21"/>
          <w:szCs w:val="21"/>
          <w14:textFill>
            <w14:solidFill>
              <w14:schemeClr w14:val="tx1"/>
            </w14:solidFill>
          </w14:textFill>
        </w:rPr>
        <w:t>年</w:t>
      </w:r>
      <w:r>
        <w:rPr>
          <w:rStyle w:val="10"/>
          <w:rFonts w:hint="eastAsia" w:ascii="宋体" w:hAnsi="宋体" w:eastAsia="宋体"/>
          <w:color w:val="000000" w:themeColor="text1"/>
          <w:sz w:val="21"/>
          <w:szCs w:val="21"/>
          <w:lang w:val="en-US" w:eastAsia="zh-CN"/>
          <w14:textFill>
            <w14:solidFill>
              <w14:schemeClr w14:val="tx1"/>
            </w14:solidFill>
          </w14:textFill>
        </w:rPr>
        <w:t>06</w:t>
      </w:r>
      <w:r>
        <w:rPr>
          <w:rStyle w:val="10"/>
          <w:rFonts w:ascii="宋体" w:hAnsi="宋体" w:eastAsia="宋体"/>
          <w:color w:val="000000" w:themeColor="text1"/>
          <w:sz w:val="21"/>
          <w:szCs w:val="21"/>
          <w14:textFill>
            <w14:solidFill>
              <w14:schemeClr w14:val="tx1"/>
            </w14:solidFill>
          </w14:textFill>
        </w:rPr>
        <w:t>月</w:t>
      </w:r>
      <w:r>
        <w:rPr>
          <w:rStyle w:val="10"/>
          <w:rFonts w:hint="eastAsia" w:ascii="宋体" w:hAnsi="宋体" w:eastAsia="宋体"/>
          <w:color w:val="000000" w:themeColor="text1"/>
          <w:sz w:val="21"/>
          <w:szCs w:val="21"/>
          <w:lang w:val="en-US" w:eastAsia="zh-CN"/>
          <w14:textFill>
            <w14:solidFill>
              <w14:schemeClr w14:val="tx1"/>
            </w14:solidFill>
          </w14:textFill>
        </w:rPr>
        <w:t>22</w:t>
      </w:r>
      <w:r>
        <w:rPr>
          <w:rStyle w:val="10"/>
          <w:rFonts w:ascii="宋体" w:hAnsi="宋体" w:eastAsia="宋体"/>
          <w:color w:val="000000" w:themeColor="text1"/>
          <w:sz w:val="21"/>
          <w:szCs w:val="21"/>
          <w14:textFill>
            <w14:solidFill>
              <w14:schemeClr w14:val="tx1"/>
            </w14:solidFill>
          </w14:textFill>
        </w:rPr>
        <w:t>日</w:t>
      </w:r>
      <w:r>
        <w:rPr>
          <w:rStyle w:val="10"/>
          <w:rFonts w:hint="eastAsia" w:ascii="宋体" w:hAnsi="宋体" w:eastAsia="宋体"/>
          <w:color w:val="000000" w:themeColor="text1"/>
          <w:sz w:val="21"/>
          <w:szCs w:val="21"/>
          <w14:textFill>
            <w14:solidFill>
              <w14:schemeClr w14:val="tx1"/>
            </w14:solidFill>
          </w14:textFill>
        </w:rPr>
        <w:t>，</w:t>
      </w:r>
      <w:r>
        <w:rPr>
          <w:rStyle w:val="10"/>
          <w:rFonts w:ascii="宋体" w:hAnsi="宋体" w:eastAsia="宋体"/>
          <w:color w:val="000000" w:themeColor="text1"/>
          <w:sz w:val="21"/>
          <w:szCs w:val="21"/>
          <w14:textFill>
            <w14:solidFill>
              <w14:schemeClr w14:val="tx1"/>
            </w14:solidFill>
          </w14:textFill>
        </w:rPr>
        <w:t>对测量管理</w:t>
      </w:r>
      <w:r>
        <w:rPr>
          <w:rStyle w:val="10"/>
          <w:rFonts w:hint="eastAsia" w:ascii="宋体" w:hAnsi="宋体" w:eastAsia="宋体"/>
          <w:color w:val="000000" w:themeColor="text1"/>
          <w:sz w:val="21"/>
          <w:szCs w:val="21"/>
          <w:lang w:eastAsia="zh-CN"/>
          <w14:textFill>
            <w14:solidFill>
              <w14:schemeClr w14:val="tx1"/>
            </w14:solidFill>
          </w14:textFill>
        </w:rPr>
        <w:t>体系</w:t>
      </w:r>
      <w:r>
        <w:rPr>
          <w:rStyle w:val="10"/>
          <w:rFonts w:ascii="宋体" w:hAnsi="宋体" w:eastAsia="宋体"/>
          <w:color w:val="000000" w:themeColor="text1"/>
          <w:sz w:val="21"/>
          <w:szCs w:val="21"/>
          <w14:textFill>
            <w14:solidFill>
              <w14:schemeClr w14:val="tx1"/>
            </w14:solidFill>
          </w14:textFill>
        </w:rPr>
        <w:t>现场</w:t>
      </w:r>
      <w:r>
        <w:rPr>
          <w:rStyle w:val="10"/>
          <w:rFonts w:hint="eastAsia" w:ascii="宋体" w:hAnsi="宋体" w:eastAsia="宋体"/>
          <w:color w:val="000000" w:themeColor="text1"/>
          <w:sz w:val="21"/>
          <w:szCs w:val="21"/>
          <w14:textFill>
            <w14:solidFill>
              <w14:schemeClr w14:val="tx1"/>
            </w14:solidFill>
          </w14:textFill>
        </w:rPr>
        <w:t>监督</w:t>
      </w:r>
      <w:r>
        <w:rPr>
          <w:rStyle w:val="10"/>
          <w:rFonts w:ascii="宋体" w:hAnsi="宋体" w:eastAsia="宋体"/>
          <w:color w:val="000000" w:themeColor="text1"/>
          <w:sz w:val="21"/>
          <w:szCs w:val="21"/>
          <w14:textFill>
            <w14:solidFill>
              <w14:schemeClr w14:val="tx1"/>
            </w14:solidFill>
          </w14:textFill>
        </w:rPr>
        <w:t>审核</w:t>
      </w:r>
      <w:r>
        <w:rPr>
          <w:rFonts w:hint="eastAsia" w:asciiTheme="minorEastAsia" w:hAnsiTheme="minorEastAsia"/>
          <w:bCs/>
          <w:color w:val="000000" w:themeColor="text1"/>
          <w:sz w:val="21"/>
          <w:szCs w:val="21"/>
          <w14:textFill>
            <w14:solidFill>
              <w14:schemeClr w14:val="tx1"/>
            </w14:solidFill>
          </w14:textFill>
        </w:rPr>
        <w:t>.验证了贵公司在测量管理体系实现认证后一年内，</w:t>
      </w:r>
      <w:r>
        <w:rPr>
          <w:rFonts w:hint="eastAsia" w:ascii="宋体" w:hAnsi="宋体"/>
          <w:color w:val="000000" w:themeColor="text1"/>
          <w:sz w:val="21"/>
          <w:szCs w:val="21"/>
          <w14:textFill>
            <w14:solidFill>
              <w14:schemeClr w14:val="tx1"/>
            </w14:solidFill>
          </w14:textFill>
        </w:rPr>
        <w:t>公司领导重视体系运行和管理，体系文件得到有效实施，关键测量过程受控、监视方法正确有效，重要测量人员能力受控，测量设备、测量环境、测量软件、测量记录及外部供方管理等各项工作，比上一年度更加完善和规范，</w:t>
      </w:r>
      <w:r>
        <w:rPr>
          <w:rFonts w:hint="eastAsia" w:ascii="宋体" w:hAnsi="宋体"/>
          <w:color w:val="000000" w:themeColor="text1"/>
          <w:sz w:val="21"/>
          <w:szCs w:val="21"/>
          <w:lang w:val="en-US" w:eastAsia="zh-CN"/>
          <w14:textFill>
            <w14:solidFill>
              <w14:schemeClr w14:val="tx1"/>
            </w14:solidFill>
          </w14:textFill>
        </w:rPr>
        <w:t>企业的生产规模进一步扩大。</w:t>
      </w:r>
      <w:r>
        <w:rPr>
          <w:rFonts w:hint="eastAsia" w:ascii="宋体" w:hAnsi="宋体"/>
          <w:color w:val="000000" w:themeColor="text1"/>
          <w:sz w:val="21"/>
          <w:szCs w:val="21"/>
          <w14:textFill>
            <w14:solidFill>
              <w14:schemeClr w14:val="tx1"/>
            </w14:solidFill>
          </w14:textFill>
        </w:rPr>
        <w:t>使公司测量体系持续满足顾客的测量要求。综上所述，审核组认为测量管理体系，符合GB/T 19022-2003标准要求，对体系运行具有持续的有效性、符合性予以肯定。建议报请</w:t>
      </w:r>
      <w:r>
        <w:rPr>
          <w:rFonts w:hint="eastAsia" w:ascii="宋体" w:hAnsi="宋体"/>
          <w:color w:val="000000" w:themeColor="text1"/>
          <w:sz w:val="21"/>
          <w:szCs w:val="21"/>
          <w:lang w:val="en-US" w:eastAsia="zh-CN"/>
          <w14:textFill>
            <w14:solidFill>
              <w14:schemeClr w14:val="tx1"/>
            </w14:solidFill>
          </w14:textFill>
        </w:rPr>
        <w:t>北京</w:t>
      </w:r>
      <w:r>
        <w:rPr>
          <w:rFonts w:hint="eastAsia" w:ascii="宋体" w:hAnsi="宋体"/>
          <w:color w:val="000000" w:themeColor="text1"/>
          <w:sz w:val="21"/>
          <w:szCs w:val="21"/>
          <w14:textFill>
            <w14:solidFill>
              <w14:schemeClr w14:val="tx1"/>
            </w14:solidFill>
          </w14:textFill>
        </w:rPr>
        <w:t>国标联合认证有限公司批准通过监督审核。</w:t>
      </w:r>
    </w:p>
    <w:p>
      <w:pPr>
        <w:keepNext w:val="0"/>
        <w:keepLines w:val="0"/>
        <w:pageBreakBefore w:val="0"/>
        <w:widowControl/>
        <w:kinsoku/>
        <w:wordWrap/>
        <w:overflowPunct/>
        <w:topLinePunct w:val="0"/>
        <w:autoSpaceDE/>
        <w:autoSpaceDN/>
        <w:bidi w:val="0"/>
        <w:adjustRightInd w:val="0"/>
        <w:snapToGrid w:val="0"/>
        <w:spacing w:line="480" w:lineRule="exact"/>
        <w:ind w:right="945"/>
        <w:jc w:val="center"/>
        <w:textAlignment w:val="auto"/>
        <w:outlineLvl w:val="9"/>
        <w:rPr>
          <w:rFonts w:ascii="宋体" w:hAnsi="宋体" w:eastAsia="宋体" w:cs="宋体"/>
          <w:kern w:val="0"/>
          <w:szCs w:val="28"/>
        </w:rPr>
      </w:pPr>
    </w:p>
    <w:p>
      <w:pPr>
        <w:keepNext w:val="0"/>
        <w:keepLines w:val="0"/>
        <w:pageBreakBefore w:val="0"/>
        <w:widowControl/>
        <w:kinsoku/>
        <w:wordWrap/>
        <w:overflowPunct/>
        <w:topLinePunct w:val="0"/>
        <w:autoSpaceDE/>
        <w:autoSpaceDN/>
        <w:bidi w:val="0"/>
        <w:adjustRightInd w:val="0"/>
        <w:snapToGrid w:val="0"/>
        <w:spacing w:line="480" w:lineRule="exact"/>
        <w:ind w:right="945"/>
        <w:jc w:val="center"/>
        <w:textAlignment w:val="auto"/>
        <w:outlineLvl w:val="9"/>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945"/>
        <w:jc w:val="center"/>
        <w:textAlignment w:val="auto"/>
        <w:outlineLvl w:val="9"/>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日期：      </w:t>
      </w:r>
    </w:p>
    <w:p>
      <w:pPr>
        <w:keepNext w:val="0"/>
        <w:keepLines w:val="0"/>
        <w:pageBreakBefore w:val="0"/>
        <w:widowControl/>
        <w:kinsoku/>
        <w:wordWrap/>
        <w:overflowPunct/>
        <w:topLinePunct w:val="0"/>
        <w:autoSpaceDE/>
        <w:autoSpaceDN/>
        <w:bidi w:val="0"/>
        <w:adjustRightInd w:val="0"/>
        <w:snapToGrid w:val="0"/>
        <w:spacing w:line="480" w:lineRule="exact"/>
        <w:ind w:right="1365"/>
        <w:textAlignment w:val="auto"/>
        <w:outlineLvl w:val="9"/>
        <w:rPr>
          <w:rFonts w:hint="eastAsia" w:ascii="宋体" w:hAnsi="宋体" w:eastAsia="宋体" w:cs="宋体"/>
          <w:b/>
          <w:bCs/>
          <w:kern w:val="0"/>
          <w:szCs w:val="21"/>
        </w:rPr>
      </w:pPr>
    </w:p>
    <w:p>
      <w:pPr>
        <w:keepNext w:val="0"/>
        <w:keepLines w:val="0"/>
        <w:pageBreakBefore w:val="0"/>
        <w:widowControl/>
        <w:kinsoku/>
        <w:wordWrap/>
        <w:overflowPunct/>
        <w:topLinePunct w:val="0"/>
        <w:autoSpaceDE/>
        <w:autoSpaceDN/>
        <w:bidi w:val="0"/>
        <w:adjustRightInd w:val="0"/>
        <w:snapToGrid w:val="0"/>
        <w:spacing w:line="480" w:lineRule="exact"/>
        <w:ind w:right="1365"/>
        <w:textAlignment w:val="auto"/>
        <w:outlineLvl w:val="9"/>
        <w:rPr>
          <w:rFonts w:ascii="宋体" w:hAnsi="宋体" w:eastAsia="宋体" w:cs="宋体"/>
          <w:kern w:val="0"/>
          <w:szCs w:val="21"/>
        </w:rPr>
      </w:pPr>
      <w:r>
        <w:rPr>
          <w:rFonts w:hint="eastAsia" w:ascii="宋体" w:hAnsi="宋体" w:eastAsia="宋体" w:cs="宋体"/>
          <w:b/>
          <w:bCs/>
          <w:kern w:val="0"/>
          <w:szCs w:val="21"/>
        </w:rPr>
        <w:t>四、报告审查人意见</w:t>
      </w:r>
    </w:p>
    <w:p>
      <w:pPr>
        <w:keepNext w:val="0"/>
        <w:keepLines w:val="0"/>
        <w:pageBreakBefore w:val="0"/>
        <w:widowControl/>
        <w:kinsoku/>
        <w:wordWrap/>
        <w:overflowPunct/>
        <w:topLinePunct w:val="0"/>
        <w:autoSpaceDE/>
        <w:autoSpaceDN/>
        <w:bidi w:val="0"/>
        <w:adjustRightInd w:val="0"/>
        <w:snapToGrid w:val="0"/>
        <w:spacing w:line="480" w:lineRule="exact"/>
        <w:ind w:firstLine="2730" w:firstLineChars="1300"/>
        <w:jc w:val="left"/>
        <w:textAlignment w:val="auto"/>
        <w:outlineLvl w:val="9"/>
        <w:rPr>
          <w:rFonts w:ascii="宋体" w:hAnsi="宋体" w:eastAsia="宋体" w:cs="宋体"/>
          <w:kern w:val="0"/>
          <w:szCs w:val="28"/>
        </w:rPr>
      </w:pPr>
      <w:r>
        <w:rPr>
          <w:rFonts w:hint="eastAsia" w:ascii="宋体" w:hAnsi="宋体" w:eastAsia="宋体" w:cs="宋体"/>
          <w:kern w:val="0"/>
          <w:szCs w:val="28"/>
        </w:rPr>
        <w:t>审查人员</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3669665</wp:posOffset>
              </wp:positionH>
              <wp:positionV relativeFrom="paragraph">
                <wp:posOffset>198120</wp:posOffset>
              </wp:positionV>
              <wp:extent cx="2208530" cy="261620"/>
              <wp:effectExtent l="0" t="0" r="1270" b="5080"/>
              <wp:wrapNone/>
              <wp:docPr id="1" name="文本框 1"/>
              <wp:cNvGraphicFramePr/>
              <a:graphic xmlns:a="http://schemas.openxmlformats.org/drawingml/2006/main">
                <a:graphicData uri="http://schemas.microsoft.com/office/word/2010/wordprocessingShape">
                  <wps:wsp>
                    <wps:cNvSpPr txBox="1"/>
                    <wps:spPr>
                      <a:xfrm>
                        <a:off x="0" y="0"/>
                        <a:ext cx="2208530" cy="261620"/>
                      </a:xfrm>
                      <a:prstGeom prst="rect">
                        <a:avLst/>
                      </a:prstGeom>
                      <a:solidFill>
                        <a:srgbClr val="FFFFFF"/>
                      </a:solidFill>
                      <a:ln>
                        <a:noFill/>
                      </a:ln>
                    </wps:spPr>
                    <wps:txb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wps:txbx>
                    <wps:bodyPr upright="1"/>
                  </wps:wsp>
                </a:graphicData>
              </a:graphic>
            </wp:anchor>
          </w:drawing>
        </mc:Choice>
        <mc:Fallback>
          <w:pict>
            <v:shape id="_x0000_s1026" o:spid="_x0000_s1026" o:spt="202" type="#_x0000_t202" style="position:absolute;left:0pt;margin-left:288.95pt;margin-top:15.6pt;height:20.6pt;width:173.9pt;z-index:251658240;mso-width-relative:page;mso-height-relative:page;" fillcolor="#FFFFFF" filled="t" stroked="f" coordsize="21600,21600" o:gfxdata="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RogH9cAAAAJAQAADwAA&#10;AAAAAAABACAAAAAiAAAAZHJzL2Rvd25yZXYueG1sUEsBAhQAFAAAAAgAh07iQOiPy42lAQAAKQMA&#10;AA4AAAAAAAAAAQAgAAAAJgEAAGRycy9lMm9Eb2MueG1sUEsFBgAAAAAGAAYAWQEAAD0FAAAAAA==&#10;">
              <v:fill on="t" focussize="0,0"/>
              <v:stroke on="f"/>
              <v:imagedata o:title=""/>
              <o:lock v:ext="edit" aspectratio="f"/>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mc:Fallback>
      </mc:AlternateConten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29845</wp:posOffset>
              </wp:positionV>
              <wp:extent cx="5849620" cy="8890"/>
              <wp:effectExtent l="0" t="4445" r="5080" b="5715"/>
              <wp:wrapNone/>
              <wp:docPr id="4" name="直线 3"/>
              <wp:cNvGraphicFramePr/>
              <a:graphic xmlns:a="http://schemas.openxmlformats.org/drawingml/2006/main">
                <a:graphicData uri="http://schemas.microsoft.com/office/word/2010/wordprocessingShape">
                  <wps:wsp>
                    <wps:cNvCnPr/>
                    <wps:spPr>
                      <a:xfrm>
                        <a:off x="0" y="0"/>
                        <a:ext cx="584962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7pt;margin-top:2.35pt;height:0.7pt;width:460.6pt;z-index:251659264;mso-width-relative:page;mso-height-relative:page;" filled="f" stroked="t" coordsize="21600,21600" o:gfxdata="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RKAA1gAAAAcBAAAPAAAAAAAAAAEAIAAAACIA&#10;AABkcnMvZG93bnJldi54bWxQSwECFAAUAAAACACHTuJAkJ405tIBAACQAwAADgAAAAAAAAABACAA&#10;AAAlAQAAZHJzL2Uyb0RvYy54bWxQSwUGAAAAAAYABgBZAQAAaQUAAAAA&#10;">
              <v:fill on="f" focussize="0,0"/>
              <v:stroke color="#000000" joinstyle="round"/>
              <v:imagedata o:title=""/>
              <o:lock v:ext="edit" aspectratio="f"/>
            </v:line>
          </w:pict>
        </mc:Fallback>
      </mc:AlternateConten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43FA6"/>
    <w:multiLevelType w:val="singleLevel"/>
    <w:tmpl w:val="5A143FA6"/>
    <w:lvl w:ilvl="0" w:tentative="0">
      <w:start w:val="2"/>
      <w:numFmt w:val="decimal"/>
      <w:lvlText w:val="%1."/>
      <w:lvlJc w:val="left"/>
      <w:pPr>
        <w:tabs>
          <w:tab w:val="left" w:pos="312"/>
        </w:tabs>
      </w:pPr>
    </w:lvl>
  </w:abstractNum>
  <w:abstractNum w:abstractNumId="1">
    <w:nsid w:val="5A158DA8"/>
    <w:multiLevelType w:val="singleLevel"/>
    <w:tmpl w:val="5A158DA8"/>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28C1"/>
    <w:rsid w:val="07312C1A"/>
    <w:rsid w:val="0A8B2690"/>
    <w:rsid w:val="1AFD4985"/>
    <w:rsid w:val="2B0E5A52"/>
    <w:rsid w:val="2BD63611"/>
    <w:rsid w:val="358E1D83"/>
    <w:rsid w:val="38BB408C"/>
    <w:rsid w:val="3DE82913"/>
    <w:rsid w:val="42E62C71"/>
    <w:rsid w:val="4354792B"/>
    <w:rsid w:val="497D0CE2"/>
    <w:rsid w:val="54B16A70"/>
    <w:rsid w:val="7FF52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4</TotalTime>
  <ScaleCrop>false</ScaleCrop>
  <LinksUpToDate>false</LinksUpToDate>
  <CharactersWithSpaces>540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胡琳</cp:lastModifiedBy>
  <cp:lastPrinted>2017-09-01T06:24:00Z</cp:lastPrinted>
  <dcterms:modified xsi:type="dcterms:W3CDTF">2020-06-22T02:34:03Z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