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-2018-20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/>
                <w:sz w:val="24"/>
                <w:szCs w:val="24"/>
              </w:rPr>
              <w:t>大庆泰泽机械加工有限公司</w:t>
            </w:r>
            <w:bookmarkEnd w:id="1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王文江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在技术质量部提供的标准中，未能提供出产品标准《封隔器和桥塞，API SPEC 11D1》的《勘误1》标准，企业未能对现行标准是否有效全面识别。不符合GB/T19022-2003标准中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19022-2003标准的6.2.1条款 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8F6"/>
    <w:rsid w:val="004D5E66"/>
    <w:rsid w:val="008D38F6"/>
    <w:rsid w:val="00A817E7"/>
    <w:rsid w:val="7D1C0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2020-06-21T07:57:45Z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