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河北子量科技有限公司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11328-2024-Q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上午至2024年11月13日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2024-11-13上午至2024-11-13上午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河北子量科技有限公司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