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A331">
      <w:pPr>
        <w:spacing w:line="360" w:lineRule="auto"/>
        <w:jc w:val="center"/>
        <w:rPr>
          <w:b/>
          <w:color w:val="000000"/>
          <w:spacing w:val="100"/>
          <w:sz w:val="44"/>
        </w:rPr>
      </w:pPr>
      <w:r>
        <w:rPr>
          <w:rFonts w:hint="eastAsia"/>
          <w:b/>
          <w:color w:val="000000"/>
          <w:spacing w:val="100"/>
          <w:sz w:val="52"/>
          <w:szCs w:val="52"/>
        </w:rPr>
        <w:t>管理体系审核报告</w:t>
      </w:r>
    </w:p>
    <w:p w14:paraId="579988DD">
      <w:pPr>
        <w:spacing w:line="360" w:lineRule="auto"/>
        <w:jc w:val="center"/>
        <w:rPr>
          <w:b/>
          <w:color w:val="000000"/>
          <w:sz w:val="44"/>
          <w:szCs w:val="44"/>
        </w:rPr>
      </w:pPr>
      <w:r>
        <w:rPr>
          <w:rFonts w:hint="eastAsia"/>
          <w:b/>
          <w:color w:val="000000"/>
          <w:sz w:val="44"/>
          <w:szCs w:val="44"/>
        </w:rPr>
        <w:t>（第一阶段）</w:t>
      </w:r>
    </w:p>
    <w:p w14:paraId="06436425">
      <w:pPr>
        <w:jc w:val="left"/>
        <w:rPr>
          <w:sz w:val="32"/>
          <w:szCs w:val="32"/>
          <w:u w:val="single"/>
        </w:rPr>
      </w:pPr>
    </w:p>
    <w:p w14:paraId="2BB1BA48">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BA7561F">
      <w:pPr>
        <w:pStyle w:val="2"/>
      </w:pPr>
    </w:p>
    <w:p w14:paraId="3FA605EE">
      <w:pPr>
        <w:pStyle w:val="2"/>
      </w:pPr>
    </w:p>
    <w:p w14:paraId="268C0991">
      <w:pPr>
        <w:pStyle w:val="2"/>
      </w:pPr>
    </w:p>
    <w:p w14:paraId="14A62DDA">
      <w:pPr>
        <w:pStyle w:val="2"/>
      </w:pPr>
    </w:p>
    <w:p w14:paraId="4B4F94F9">
      <w:pPr>
        <w:pStyle w:val="2"/>
      </w:pPr>
    </w:p>
    <w:p w14:paraId="76655A30">
      <w:pPr>
        <w:pStyle w:val="2"/>
      </w:pPr>
    </w:p>
    <w:p w14:paraId="47847364">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江西钰石实业有限公司</w:t>
      </w:r>
      <w:bookmarkEnd w:id="0"/>
    </w:p>
    <w:p w14:paraId="15DF8101">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68C835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354FF8F1">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50008427">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1927F434">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17D9DD95">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51F6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5A6158B">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53FFA755">
            <w:pPr>
              <w:pStyle w:val="2"/>
            </w:pPr>
            <w:bookmarkStart w:id="7" w:name="总组长"/>
            <w:r>
              <w:t>文波</w:t>
            </w:r>
            <w:bookmarkEnd w:id="7"/>
          </w:p>
        </w:tc>
      </w:tr>
      <w:tr w14:paraId="561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5C55BC5">
            <w:pPr>
              <w:pStyle w:val="2"/>
            </w:pPr>
            <w:r>
              <w:rPr>
                <w:rFonts w:hint="eastAsia"/>
                <w:b/>
                <w:bCs w:val="0"/>
              </w:rPr>
              <w:t>审核组员（签字）：</w:t>
            </w:r>
          </w:p>
        </w:tc>
        <w:tc>
          <w:tcPr>
            <w:tcW w:w="4077" w:type="dxa"/>
            <w:tcBorders>
              <w:left w:val="nil"/>
              <w:bottom w:val="single" w:color="auto" w:sz="4" w:space="0"/>
              <w:right w:val="nil"/>
            </w:tcBorders>
            <w:vAlign w:val="center"/>
          </w:tcPr>
          <w:p w14:paraId="77B4734F">
            <w:pPr>
              <w:pStyle w:val="2"/>
            </w:pPr>
            <w:bookmarkStart w:id="8" w:name="审核组成员不含组长"/>
            <w:r>
              <w:t>徐爱红，杨凌</w:t>
            </w:r>
            <w:bookmarkEnd w:id="8"/>
          </w:p>
        </w:tc>
      </w:tr>
      <w:tr w14:paraId="3BAC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94AF40C">
            <w:pPr>
              <w:pStyle w:val="2"/>
            </w:pPr>
            <w:r>
              <w:rPr>
                <w:rFonts w:hint="eastAsia"/>
                <w:b/>
                <w:bCs w:val="0"/>
              </w:rPr>
              <w:t>报告日期：</w:t>
            </w:r>
          </w:p>
        </w:tc>
        <w:tc>
          <w:tcPr>
            <w:tcW w:w="4077" w:type="dxa"/>
            <w:tcBorders>
              <w:left w:val="nil"/>
              <w:right w:val="nil"/>
            </w:tcBorders>
            <w:vAlign w:val="center"/>
          </w:tcPr>
          <w:p w14:paraId="51D919EF">
            <w:pPr>
              <w:pStyle w:val="2"/>
              <w:ind w:firstLine="566" w:firstLineChars="245"/>
              <w:jc w:val="center"/>
            </w:pPr>
            <w:r>
              <w:rPr>
                <w:rFonts w:hint="eastAsia"/>
                <w:b/>
                <w:bCs w:val="0"/>
              </w:rPr>
              <w:t>年月日</w:t>
            </w:r>
          </w:p>
        </w:tc>
      </w:tr>
    </w:tbl>
    <w:p w14:paraId="195BF88C">
      <w:pPr>
        <w:pStyle w:val="2"/>
      </w:pPr>
    </w:p>
    <w:p w14:paraId="21B69190">
      <w:pPr>
        <w:pStyle w:val="2"/>
      </w:pPr>
    </w:p>
    <w:p w14:paraId="3D987CFF">
      <w:pPr>
        <w:pStyle w:val="2"/>
      </w:pPr>
    </w:p>
    <w:p w14:paraId="4D1BFCA6">
      <w:pPr>
        <w:pStyle w:val="2"/>
      </w:pPr>
    </w:p>
    <w:p w14:paraId="7C96F7AE">
      <w:pPr>
        <w:pStyle w:val="2"/>
      </w:pPr>
    </w:p>
    <w:p w14:paraId="7175AFCC">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7F7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E82E2B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CFF3F73">
            <w:pPr>
              <w:pStyle w:val="2"/>
              <w:jc w:val="left"/>
            </w:pPr>
          </w:p>
          <w:p w14:paraId="56D0EE89">
            <w:pPr>
              <w:pStyle w:val="2"/>
              <w:jc w:val="left"/>
            </w:pPr>
          </w:p>
          <w:p w14:paraId="2B680A5B">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7D29913">
            <w:pPr>
              <w:pStyle w:val="2"/>
              <w:jc w:val="left"/>
            </w:pPr>
            <w:r>
              <w:rPr>
                <w:rFonts w:hint="eastAsia"/>
                <w:sz w:val="15"/>
                <w:szCs w:val="15"/>
              </w:rPr>
              <w:t>联系我们，扫一扫！</w:t>
            </w:r>
          </w:p>
        </w:tc>
      </w:tr>
      <w:tr w14:paraId="2E06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91D617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015D108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FE8463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9D5C531">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DC37EAF">
            <w:pPr>
              <w:pStyle w:val="2"/>
              <w:jc w:val="center"/>
            </w:pPr>
          </w:p>
        </w:tc>
      </w:tr>
    </w:tbl>
    <w:p w14:paraId="669C6276">
      <w:pPr>
        <w:pStyle w:val="2"/>
      </w:pPr>
    </w:p>
    <w:p w14:paraId="20665D7B">
      <w:pPr>
        <w:pStyle w:val="2"/>
      </w:pPr>
    </w:p>
    <w:p w14:paraId="1AB584BF">
      <w:pPr>
        <w:pStyle w:val="2"/>
      </w:pPr>
    </w:p>
    <w:p w14:paraId="530CA9D3">
      <w:pPr>
        <w:pStyle w:val="2"/>
      </w:pPr>
    </w:p>
    <w:p w14:paraId="4BE5587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4ABFF8B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3354C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755142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5AD6EF2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3A29361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24923CF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69C4C34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3D0B853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55939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062C4A6">
            <w:pPr>
              <w:spacing w:line="360" w:lineRule="auto"/>
              <w:jc w:val="left"/>
              <w:rPr>
                <w:rFonts w:asciiTheme="minorEastAsia" w:hAnsiTheme="minorEastAsia" w:eastAsiaTheme="minorEastAsia"/>
                <w:szCs w:val="21"/>
              </w:rPr>
            </w:pPr>
          </w:p>
        </w:tc>
        <w:tc>
          <w:tcPr>
            <w:tcW w:w="1247" w:type="dxa"/>
            <w:vAlign w:val="center"/>
          </w:tcPr>
          <w:p w14:paraId="76F9AD5D">
            <w:pPr>
              <w:spacing w:line="360" w:lineRule="auto"/>
              <w:jc w:val="left"/>
              <w:rPr>
                <w:rFonts w:asciiTheme="minorEastAsia" w:hAnsiTheme="minorEastAsia" w:eastAsiaTheme="minorEastAsia"/>
                <w:szCs w:val="21"/>
              </w:rPr>
            </w:pPr>
          </w:p>
        </w:tc>
        <w:tc>
          <w:tcPr>
            <w:tcW w:w="1051" w:type="dxa"/>
            <w:vAlign w:val="center"/>
          </w:tcPr>
          <w:p w14:paraId="1D8005CE">
            <w:pPr>
              <w:spacing w:line="360" w:lineRule="auto"/>
              <w:jc w:val="left"/>
              <w:rPr>
                <w:rFonts w:asciiTheme="minorEastAsia" w:hAnsiTheme="minorEastAsia" w:eastAsiaTheme="minorEastAsia"/>
                <w:szCs w:val="21"/>
              </w:rPr>
            </w:pPr>
          </w:p>
        </w:tc>
        <w:tc>
          <w:tcPr>
            <w:tcW w:w="1466" w:type="dxa"/>
            <w:vAlign w:val="center"/>
          </w:tcPr>
          <w:p w14:paraId="459EE953">
            <w:pPr>
              <w:spacing w:line="360" w:lineRule="auto"/>
              <w:jc w:val="left"/>
              <w:rPr>
                <w:rFonts w:asciiTheme="minorEastAsia" w:hAnsiTheme="minorEastAsia" w:eastAsiaTheme="minorEastAsia"/>
                <w:szCs w:val="21"/>
              </w:rPr>
            </w:pPr>
          </w:p>
        </w:tc>
        <w:tc>
          <w:tcPr>
            <w:tcW w:w="2268" w:type="dxa"/>
            <w:vAlign w:val="center"/>
          </w:tcPr>
          <w:p w14:paraId="1B6AB067">
            <w:pPr>
              <w:spacing w:line="360" w:lineRule="auto"/>
              <w:jc w:val="left"/>
              <w:rPr>
                <w:rFonts w:asciiTheme="minorEastAsia" w:hAnsiTheme="minorEastAsia" w:eastAsiaTheme="minorEastAsia"/>
                <w:szCs w:val="21"/>
              </w:rPr>
            </w:pPr>
          </w:p>
        </w:tc>
        <w:tc>
          <w:tcPr>
            <w:tcW w:w="3145" w:type="dxa"/>
            <w:vAlign w:val="center"/>
          </w:tcPr>
          <w:p w14:paraId="283AAA87">
            <w:pPr>
              <w:spacing w:line="360" w:lineRule="auto"/>
              <w:jc w:val="left"/>
              <w:rPr>
                <w:rFonts w:asciiTheme="minorEastAsia" w:hAnsiTheme="minorEastAsia" w:eastAsiaTheme="minorEastAsia"/>
                <w:szCs w:val="21"/>
              </w:rPr>
            </w:pPr>
          </w:p>
        </w:tc>
      </w:tr>
      <w:tr w14:paraId="18C4C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489989F">
            <w:pPr>
              <w:spacing w:line="360" w:lineRule="auto"/>
              <w:jc w:val="left"/>
              <w:rPr>
                <w:rFonts w:asciiTheme="minorEastAsia" w:hAnsiTheme="minorEastAsia" w:eastAsiaTheme="minorEastAsia"/>
                <w:szCs w:val="21"/>
              </w:rPr>
            </w:pPr>
          </w:p>
        </w:tc>
        <w:tc>
          <w:tcPr>
            <w:tcW w:w="1247" w:type="dxa"/>
            <w:vAlign w:val="center"/>
          </w:tcPr>
          <w:p w14:paraId="6498DB83">
            <w:pPr>
              <w:spacing w:line="360" w:lineRule="auto"/>
              <w:jc w:val="left"/>
              <w:rPr>
                <w:rFonts w:asciiTheme="minorEastAsia" w:hAnsiTheme="minorEastAsia" w:eastAsiaTheme="minorEastAsia"/>
                <w:szCs w:val="21"/>
              </w:rPr>
            </w:pPr>
          </w:p>
        </w:tc>
        <w:tc>
          <w:tcPr>
            <w:tcW w:w="1051" w:type="dxa"/>
            <w:vAlign w:val="center"/>
          </w:tcPr>
          <w:p w14:paraId="30F8B17D">
            <w:pPr>
              <w:spacing w:line="360" w:lineRule="auto"/>
              <w:jc w:val="left"/>
              <w:rPr>
                <w:rFonts w:asciiTheme="minorEastAsia" w:hAnsiTheme="minorEastAsia" w:eastAsiaTheme="minorEastAsia"/>
              </w:rPr>
            </w:pPr>
          </w:p>
        </w:tc>
        <w:tc>
          <w:tcPr>
            <w:tcW w:w="1466" w:type="dxa"/>
            <w:vAlign w:val="center"/>
          </w:tcPr>
          <w:p w14:paraId="1C45FF08">
            <w:pPr>
              <w:spacing w:line="360" w:lineRule="auto"/>
              <w:jc w:val="left"/>
              <w:rPr>
                <w:rFonts w:asciiTheme="minorEastAsia" w:hAnsiTheme="minorEastAsia" w:eastAsiaTheme="minorEastAsia"/>
              </w:rPr>
            </w:pPr>
          </w:p>
        </w:tc>
        <w:tc>
          <w:tcPr>
            <w:tcW w:w="2268" w:type="dxa"/>
            <w:vAlign w:val="center"/>
          </w:tcPr>
          <w:p w14:paraId="027AE5D2">
            <w:pPr>
              <w:spacing w:line="360" w:lineRule="auto"/>
              <w:jc w:val="left"/>
              <w:rPr>
                <w:rFonts w:asciiTheme="minorEastAsia" w:hAnsiTheme="minorEastAsia" w:eastAsiaTheme="minorEastAsia"/>
              </w:rPr>
            </w:pPr>
          </w:p>
        </w:tc>
        <w:tc>
          <w:tcPr>
            <w:tcW w:w="3145" w:type="dxa"/>
            <w:vAlign w:val="center"/>
          </w:tcPr>
          <w:p w14:paraId="772D861E">
            <w:pPr>
              <w:spacing w:line="360" w:lineRule="auto"/>
              <w:jc w:val="left"/>
              <w:rPr>
                <w:rFonts w:asciiTheme="minorEastAsia" w:hAnsiTheme="minorEastAsia" w:eastAsiaTheme="minorEastAsia"/>
              </w:rPr>
            </w:pPr>
          </w:p>
        </w:tc>
      </w:tr>
      <w:tr w14:paraId="73CCF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4F60668">
            <w:pPr>
              <w:spacing w:line="360" w:lineRule="auto"/>
              <w:jc w:val="left"/>
              <w:rPr>
                <w:rFonts w:asciiTheme="minorEastAsia" w:hAnsiTheme="minorEastAsia" w:eastAsiaTheme="minorEastAsia"/>
                <w:szCs w:val="21"/>
              </w:rPr>
            </w:pPr>
          </w:p>
        </w:tc>
        <w:tc>
          <w:tcPr>
            <w:tcW w:w="1247" w:type="dxa"/>
            <w:vAlign w:val="center"/>
          </w:tcPr>
          <w:p w14:paraId="467944D9">
            <w:pPr>
              <w:spacing w:line="360" w:lineRule="auto"/>
              <w:jc w:val="left"/>
              <w:rPr>
                <w:rFonts w:asciiTheme="minorEastAsia" w:hAnsiTheme="minorEastAsia" w:eastAsiaTheme="minorEastAsia"/>
                <w:szCs w:val="21"/>
              </w:rPr>
            </w:pPr>
          </w:p>
        </w:tc>
        <w:tc>
          <w:tcPr>
            <w:tcW w:w="1051" w:type="dxa"/>
            <w:vAlign w:val="center"/>
          </w:tcPr>
          <w:p w14:paraId="289D9F79">
            <w:pPr>
              <w:spacing w:line="360" w:lineRule="auto"/>
              <w:jc w:val="left"/>
              <w:rPr>
                <w:rFonts w:asciiTheme="minorEastAsia" w:hAnsiTheme="minorEastAsia" w:eastAsiaTheme="minorEastAsia"/>
              </w:rPr>
            </w:pPr>
          </w:p>
        </w:tc>
        <w:tc>
          <w:tcPr>
            <w:tcW w:w="1466" w:type="dxa"/>
            <w:vAlign w:val="center"/>
          </w:tcPr>
          <w:p w14:paraId="2EED4808">
            <w:pPr>
              <w:spacing w:line="360" w:lineRule="auto"/>
              <w:jc w:val="left"/>
              <w:rPr>
                <w:rFonts w:asciiTheme="minorEastAsia" w:hAnsiTheme="minorEastAsia" w:eastAsiaTheme="minorEastAsia"/>
              </w:rPr>
            </w:pPr>
          </w:p>
        </w:tc>
        <w:tc>
          <w:tcPr>
            <w:tcW w:w="2268" w:type="dxa"/>
            <w:vAlign w:val="center"/>
          </w:tcPr>
          <w:p w14:paraId="76E42732">
            <w:pPr>
              <w:spacing w:line="360" w:lineRule="auto"/>
              <w:jc w:val="left"/>
              <w:rPr>
                <w:rFonts w:asciiTheme="minorEastAsia" w:hAnsiTheme="minorEastAsia" w:eastAsiaTheme="minorEastAsia"/>
              </w:rPr>
            </w:pPr>
          </w:p>
        </w:tc>
        <w:tc>
          <w:tcPr>
            <w:tcW w:w="3145" w:type="dxa"/>
            <w:vAlign w:val="center"/>
          </w:tcPr>
          <w:p w14:paraId="1C059A91">
            <w:pPr>
              <w:spacing w:line="360" w:lineRule="auto"/>
              <w:jc w:val="left"/>
              <w:rPr>
                <w:rFonts w:asciiTheme="minorEastAsia" w:hAnsiTheme="minorEastAsia" w:eastAsiaTheme="minorEastAsia"/>
              </w:rPr>
            </w:pPr>
          </w:p>
        </w:tc>
      </w:tr>
    </w:tbl>
    <w:p w14:paraId="57026266">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B8DC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2" w:hRule="atLeast"/>
        </w:trPr>
        <w:tc>
          <w:tcPr>
            <w:tcW w:w="513" w:type="dxa"/>
            <w:vAlign w:val="center"/>
          </w:tcPr>
          <w:p w14:paraId="6A2E020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4BB6744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181E6DB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2E0112F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084E4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AD6AEB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79DDFEE6">
            <w:pPr>
              <w:spacing w:line="360" w:lineRule="auto"/>
              <w:jc w:val="left"/>
              <w:rPr>
                <w:rFonts w:asciiTheme="minorEastAsia" w:hAnsiTheme="minorEastAsia" w:eastAsiaTheme="minorEastAsia"/>
                <w:szCs w:val="21"/>
              </w:rPr>
            </w:pPr>
          </w:p>
        </w:tc>
        <w:tc>
          <w:tcPr>
            <w:tcW w:w="2410" w:type="dxa"/>
            <w:vAlign w:val="center"/>
          </w:tcPr>
          <w:p w14:paraId="1C799C4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70D1699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5C228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90A770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425502BC">
            <w:pPr>
              <w:spacing w:line="360" w:lineRule="auto"/>
              <w:jc w:val="left"/>
              <w:rPr>
                <w:rFonts w:asciiTheme="minorEastAsia" w:hAnsiTheme="minorEastAsia" w:eastAsiaTheme="minorEastAsia"/>
                <w:szCs w:val="21"/>
              </w:rPr>
            </w:pPr>
          </w:p>
        </w:tc>
        <w:tc>
          <w:tcPr>
            <w:tcW w:w="2410" w:type="dxa"/>
            <w:vAlign w:val="center"/>
          </w:tcPr>
          <w:p w14:paraId="68D3CD7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7772AB4B">
            <w:pPr>
              <w:spacing w:line="360" w:lineRule="auto"/>
              <w:jc w:val="left"/>
              <w:rPr>
                <w:rFonts w:asciiTheme="minorEastAsia" w:hAnsiTheme="minorEastAsia" w:eastAsiaTheme="minorEastAsia"/>
                <w:szCs w:val="21"/>
              </w:rPr>
            </w:pPr>
          </w:p>
        </w:tc>
      </w:tr>
    </w:tbl>
    <w:p w14:paraId="286C5D04">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3C68374E">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4608C4FD">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704D80BF">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6ECB3521">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7A3E0FB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7192122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25B9C09">
        <w:tblPrEx>
          <w:tblCellMar>
            <w:top w:w="0" w:type="dxa"/>
            <w:left w:w="108" w:type="dxa"/>
            <w:bottom w:w="0" w:type="dxa"/>
            <w:right w:w="108" w:type="dxa"/>
          </w:tblCellMar>
        </w:tblPrEx>
        <w:tc>
          <w:tcPr>
            <w:tcW w:w="3827" w:type="dxa"/>
          </w:tcPr>
          <w:p w14:paraId="3F57497D">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1D0528DC">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2840A7A8">
        <w:tblPrEx>
          <w:tblCellMar>
            <w:top w:w="0" w:type="dxa"/>
            <w:left w:w="108" w:type="dxa"/>
            <w:bottom w:w="0" w:type="dxa"/>
            <w:right w:w="108" w:type="dxa"/>
          </w:tblCellMar>
        </w:tblPrEx>
        <w:tc>
          <w:tcPr>
            <w:tcW w:w="3827" w:type="dxa"/>
          </w:tcPr>
          <w:p w14:paraId="7F990C8A">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0AB71A13">
            <w:pPr>
              <w:pStyle w:val="27"/>
              <w:spacing w:line="360" w:lineRule="auto"/>
              <w:outlineLvl w:val="1"/>
              <w:rPr>
                <w:rFonts w:asciiTheme="minorEastAsia" w:hAnsiTheme="minorEastAsia" w:eastAsiaTheme="minorEastAsia"/>
                <w:color w:val="auto"/>
                <w:kern w:val="2"/>
                <w:sz w:val="21"/>
                <w:szCs w:val="21"/>
              </w:rPr>
            </w:pPr>
          </w:p>
        </w:tc>
      </w:tr>
      <w:tr w14:paraId="25CCD2D3">
        <w:tblPrEx>
          <w:tblCellMar>
            <w:top w:w="0" w:type="dxa"/>
            <w:left w:w="108" w:type="dxa"/>
            <w:bottom w:w="0" w:type="dxa"/>
            <w:right w:w="108" w:type="dxa"/>
          </w:tblCellMar>
        </w:tblPrEx>
        <w:tc>
          <w:tcPr>
            <w:tcW w:w="7796" w:type="dxa"/>
            <w:gridSpan w:val="2"/>
          </w:tcPr>
          <w:p w14:paraId="328FC215">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4E4589E1">
        <w:tblPrEx>
          <w:tblCellMar>
            <w:top w:w="0" w:type="dxa"/>
            <w:left w:w="108" w:type="dxa"/>
            <w:bottom w:w="0" w:type="dxa"/>
            <w:right w:w="108" w:type="dxa"/>
          </w:tblCellMar>
        </w:tblPrEx>
        <w:tc>
          <w:tcPr>
            <w:tcW w:w="7796" w:type="dxa"/>
            <w:gridSpan w:val="2"/>
          </w:tcPr>
          <w:p w14:paraId="2251574A">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4C81642F">
        <w:tblPrEx>
          <w:tblCellMar>
            <w:top w:w="0" w:type="dxa"/>
            <w:left w:w="108" w:type="dxa"/>
            <w:bottom w:w="0" w:type="dxa"/>
            <w:right w:w="108" w:type="dxa"/>
          </w:tblCellMar>
        </w:tblPrEx>
        <w:trPr>
          <w:trHeight w:val="107" w:hRule="atLeast"/>
        </w:trPr>
        <w:tc>
          <w:tcPr>
            <w:tcW w:w="7796" w:type="dxa"/>
            <w:gridSpan w:val="2"/>
          </w:tcPr>
          <w:p w14:paraId="6048C396">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7E36C22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289105B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74EC67A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0C169FE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59B6163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2C7882A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197C412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2024-11-15 </w:t>
      </w:r>
      <w:r>
        <w:rPr>
          <w:rFonts w:hint="eastAsia" w:asciiTheme="minorEastAsia" w:hAnsiTheme="minorEastAsia" w:eastAsiaTheme="minorEastAsia"/>
          <w:color w:val="auto"/>
          <w:kern w:val="2"/>
          <w:sz w:val="21"/>
          <w:szCs w:val="21"/>
          <w:lang w:val="en-US" w:eastAsia="zh-CN"/>
        </w:rPr>
        <w:t>14</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r>
        <w:rPr>
          <w:rFonts w:hint="eastAsia" w:asciiTheme="minorEastAsia" w:hAnsiTheme="minorEastAsia" w:eastAsiaTheme="minorEastAsia"/>
          <w:color w:val="auto"/>
          <w:kern w:val="2"/>
          <w:sz w:val="21"/>
          <w:szCs w:val="21"/>
        </w:rPr>
        <w:t>0:00下午至2024-11-15 1</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5B97B192">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36A612A4">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6A54355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22016B07">
      <w:pPr>
        <w:pStyle w:val="27"/>
        <w:spacing w:line="360" w:lineRule="auto"/>
        <w:rPr>
          <w:rFonts w:asciiTheme="minorEastAsia" w:hAnsiTheme="minorEastAsia" w:eastAsiaTheme="minorEastAsia"/>
          <w:color w:val="auto"/>
          <w:kern w:val="2"/>
          <w:sz w:val="21"/>
          <w:szCs w:val="21"/>
        </w:rPr>
      </w:pPr>
    </w:p>
    <w:p w14:paraId="624C062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36D2817C">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江西省宜春市樟树市盐化基地循环经济产业园（西湖路）</w:t>
      </w:r>
      <w:bookmarkEnd w:id="19"/>
    </w:p>
    <w:p w14:paraId="7E427E9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2357CC7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江西省宜春市樟树市锦绣江南二栋</w:t>
      </w:r>
      <w:bookmarkEnd w:id="20"/>
    </w:p>
    <w:p w14:paraId="13D23999">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5D020BB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37682437">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0FB81E66">
      <w:pPr>
        <w:pStyle w:val="27"/>
        <w:spacing w:line="360" w:lineRule="auto"/>
        <w:rPr>
          <w:rFonts w:cs="宋体" w:asciiTheme="minorEastAsia" w:hAnsiTheme="minorEastAsia" w:eastAsiaTheme="minorEastAsia"/>
          <w:color w:val="auto"/>
          <w:sz w:val="21"/>
          <w:szCs w:val="21"/>
        </w:rPr>
      </w:pPr>
    </w:p>
    <w:p w14:paraId="136AA622">
      <w:pPr>
        <w:pStyle w:val="27"/>
        <w:spacing w:line="360" w:lineRule="auto"/>
        <w:rPr>
          <w:rFonts w:cs="宋体" w:asciiTheme="minorEastAsia" w:hAnsiTheme="minorEastAsia" w:eastAsiaTheme="minorEastAsia"/>
          <w:color w:val="auto"/>
          <w:sz w:val="21"/>
          <w:szCs w:val="21"/>
        </w:rPr>
      </w:pPr>
    </w:p>
    <w:p w14:paraId="2887085B">
      <w:pPr>
        <w:pStyle w:val="27"/>
        <w:spacing w:line="360" w:lineRule="auto"/>
        <w:rPr>
          <w:rFonts w:cs="宋体" w:asciiTheme="minorEastAsia" w:hAnsiTheme="minorEastAsia" w:eastAsiaTheme="minorEastAsia"/>
          <w:color w:val="auto"/>
          <w:sz w:val="21"/>
          <w:szCs w:val="21"/>
        </w:rPr>
      </w:pPr>
    </w:p>
    <w:p w14:paraId="74CBAD5B">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3B72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4649F561">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689634A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54BC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7D54A6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F9A1F9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C143EC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D63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46E4A8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4B4B732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8C526A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F71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4E63E4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6C5345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C6CDAB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8E9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ACB41A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0782A0D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D35806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BA4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3AC937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63DF10E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8F1D86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7459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C7E390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6759EDA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B2891E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28E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CB9F21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B2AED9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6C0BC8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289E120B">
      <w:pPr>
        <w:spacing w:line="360" w:lineRule="auto"/>
        <w:jc w:val="left"/>
        <w:rPr>
          <w:rFonts w:asciiTheme="minorEastAsia" w:hAnsiTheme="minorEastAsia" w:eastAsiaTheme="minorEastAsia"/>
          <w:b/>
          <w:szCs w:val="21"/>
        </w:rPr>
      </w:pPr>
    </w:p>
    <w:p w14:paraId="02641AC2">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5B5ED28D">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020B38D9">
      <w:pPr>
        <w:spacing w:line="360" w:lineRule="auto"/>
        <w:ind w:left="425"/>
        <w:jc w:val="left"/>
        <w:rPr>
          <w:rFonts w:asciiTheme="minorEastAsia" w:hAnsiTheme="minorEastAsia" w:eastAsiaTheme="minorEastAsia"/>
          <w:szCs w:val="21"/>
        </w:rPr>
      </w:pPr>
    </w:p>
    <w:p w14:paraId="7293A2FF">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43A187CB">
      <w:pPr>
        <w:spacing w:line="360" w:lineRule="auto"/>
        <w:ind w:left="425"/>
        <w:jc w:val="left"/>
        <w:rPr>
          <w:rFonts w:asciiTheme="minorEastAsia" w:hAnsiTheme="minorEastAsia" w:eastAsiaTheme="minorEastAsia"/>
          <w:szCs w:val="21"/>
        </w:rPr>
      </w:pPr>
    </w:p>
    <w:p w14:paraId="6AA3E72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396D3D16">
      <w:pPr>
        <w:spacing w:line="360" w:lineRule="auto"/>
        <w:ind w:left="425"/>
        <w:jc w:val="left"/>
        <w:rPr>
          <w:rFonts w:asciiTheme="minorEastAsia" w:hAnsiTheme="minorEastAsia" w:eastAsiaTheme="minorEastAsia"/>
          <w:szCs w:val="21"/>
        </w:rPr>
      </w:pPr>
    </w:p>
    <w:p w14:paraId="53A1184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24CFF92B">
      <w:pPr>
        <w:spacing w:line="360" w:lineRule="auto"/>
        <w:ind w:left="425"/>
        <w:jc w:val="left"/>
        <w:rPr>
          <w:rFonts w:asciiTheme="minorEastAsia" w:hAnsiTheme="minorEastAsia" w:eastAsiaTheme="minorEastAsia"/>
          <w:szCs w:val="21"/>
        </w:rPr>
      </w:pPr>
    </w:p>
    <w:p w14:paraId="4371DA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41B04ADB">
      <w:pPr>
        <w:spacing w:line="360" w:lineRule="auto"/>
        <w:ind w:left="425"/>
        <w:jc w:val="left"/>
        <w:rPr>
          <w:rFonts w:asciiTheme="minorEastAsia" w:hAnsiTheme="minorEastAsia" w:eastAsiaTheme="minorEastAsia"/>
          <w:szCs w:val="21"/>
        </w:rPr>
      </w:pPr>
    </w:p>
    <w:p w14:paraId="67376C0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2C8A0E8C">
      <w:pPr>
        <w:spacing w:line="360" w:lineRule="auto"/>
        <w:ind w:left="425"/>
        <w:jc w:val="left"/>
        <w:rPr>
          <w:rFonts w:asciiTheme="minorEastAsia" w:hAnsiTheme="minorEastAsia" w:eastAsiaTheme="minorEastAsia"/>
          <w:szCs w:val="21"/>
        </w:rPr>
      </w:pPr>
    </w:p>
    <w:p w14:paraId="1E68016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549399E2">
      <w:pPr>
        <w:spacing w:line="360" w:lineRule="auto"/>
        <w:jc w:val="left"/>
        <w:rPr>
          <w:rFonts w:asciiTheme="minorEastAsia" w:hAnsiTheme="minorEastAsia" w:eastAsiaTheme="minorEastAsia"/>
          <w:szCs w:val="21"/>
        </w:rPr>
      </w:pPr>
    </w:p>
    <w:p w14:paraId="7E3100E5">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35AED17F">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A1AA6F0">
      <w:pPr>
        <w:pStyle w:val="27"/>
        <w:spacing w:line="360" w:lineRule="auto"/>
        <w:rPr>
          <w:rFonts w:asciiTheme="minorEastAsia" w:hAnsiTheme="minorEastAsia" w:eastAsiaTheme="minorEastAsia"/>
          <w:color w:val="auto"/>
          <w:kern w:val="2"/>
          <w:sz w:val="21"/>
          <w:szCs w:val="21"/>
        </w:rPr>
      </w:pPr>
    </w:p>
    <w:p w14:paraId="25F640F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066D6670">
      <w:pPr>
        <w:pStyle w:val="27"/>
        <w:spacing w:line="360" w:lineRule="auto"/>
        <w:ind w:left="420"/>
        <w:rPr>
          <w:rFonts w:asciiTheme="minorEastAsia" w:hAnsiTheme="minorEastAsia" w:eastAsiaTheme="minorEastAsia"/>
          <w:color w:val="auto"/>
          <w:kern w:val="2"/>
          <w:sz w:val="21"/>
          <w:szCs w:val="21"/>
        </w:rPr>
      </w:pPr>
    </w:p>
    <w:p w14:paraId="04BCA328">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AC0839D">
      <w:pPr>
        <w:pStyle w:val="15"/>
        <w:spacing w:line="360" w:lineRule="auto"/>
        <w:ind w:left="420" w:firstLine="0" w:firstLineChars="0"/>
        <w:jc w:val="left"/>
        <w:rPr>
          <w:rFonts w:asciiTheme="minorEastAsia" w:hAnsiTheme="minorEastAsia" w:eastAsiaTheme="minorEastAsia"/>
          <w:szCs w:val="21"/>
          <w:lang w:val="en-GB"/>
        </w:rPr>
      </w:pPr>
    </w:p>
    <w:p w14:paraId="3C326B70">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2F78A27A">
      <w:pPr>
        <w:pStyle w:val="27"/>
        <w:spacing w:line="360" w:lineRule="auto"/>
        <w:rPr>
          <w:rFonts w:asciiTheme="minorEastAsia" w:hAnsiTheme="minorEastAsia" w:eastAsiaTheme="minorEastAsia"/>
          <w:b/>
          <w:color w:val="auto"/>
          <w:kern w:val="2"/>
          <w:lang w:val="en-GB"/>
        </w:rPr>
      </w:pPr>
    </w:p>
    <w:p w14:paraId="34C30B2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1B33FB48">
      <w:pPr>
        <w:pStyle w:val="27"/>
        <w:spacing w:line="360" w:lineRule="auto"/>
        <w:rPr>
          <w:rFonts w:asciiTheme="minorEastAsia" w:hAnsiTheme="minorEastAsia" w:eastAsiaTheme="minorEastAsia"/>
          <w:b/>
          <w:color w:val="auto"/>
          <w:kern w:val="2"/>
          <w:lang w:val="en-GB"/>
        </w:rPr>
      </w:pPr>
    </w:p>
    <w:p w14:paraId="7CD9519E">
      <w:pPr>
        <w:pStyle w:val="27"/>
        <w:spacing w:line="360" w:lineRule="auto"/>
        <w:rPr>
          <w:rFonts w:asciiTheme="minorEastAsia" w:hAnsiTheme="minorEastAsia" w:eastAsiaTheme="minorEastAsia"/>
          <w:b/>
          <w:color w:val="auto"/>
          <w:kern w:val="2"/>
          <w:lang w:val="en-GB"/>
        </w:rPr>
      </w:pPr>
    </w:p>
    <w:p w14:paraId="7BE6D5F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580C2899">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216BAC21">
      <w:pPr>
        <w:pStyle w:val="27"/>
        <w:spacing w:line="360" w:lineRule="auto"/>
        <w:rPr>
          <w:rFonts w:asciiTheme="minorEastAsia" w:hAnsiTheme="minorEastAsia" w:eastAsiaTheme="minorEastAsia"/>
          <w:b/>
          <w:color w:val="auto"/>
          <w:kern w:val="2"/>
        </w:rPr>
      </w:pPr>
    </w:p>
    <w:p w14:paraId="41B394C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15315734">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2024年11月18日 下午至2024年11月20日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748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559757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291F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83B841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16E960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616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4EE7B3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7E39247">
            <w:pPr>
              <w:pStyle w:val="27"/>
              <w:spacing w:line="360" w:lineRule="auto"/>
              <w:rPr>
                <w:rFonts w:cs="宋体" w:asciiTheme="minorEastAsia" w:hAnsiTheme="minorEastAsia" w:eastAsiaTheme="minorEastAsia"/>
                <w:color w:val="auto"/>
                <w:kern w:val="2"/>
                <w:sz w:val="21"/>
                <w:szCs w:val="21"/>
              </w:rPr>
            </w:pPr>
          </w:p>
        </w:tc>
      </w:tr>
      <w:tr w14:paraId="47B5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64FAA2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3A10AEF">
            <w:pPr>
              <w:pStyle w:val="27"/>
              <w:spacing w:line="360" w:lineRule="auto"/>
              <w:rPr>
                <w:rFonts w:cs="宋体" w:asciiTheme="minorEastAsia" w:hAnsiTheme="minorEastAsia" w:eastAsiaTheme="minorEastAsia"/>
                <w:color w:val="auto"/>
                <w:kern w:val="2"/>
                <w:sz w:val="21"/>
                <w:szCs w:val="21"/>
              </w:rPr>
            </w:pPr>
          </w:p>
        </w:tc>
      </w:tr>
    </w:tbl>
    <w:p w14:paraId="75E2585F">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AF5CC7E">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765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DDE1EB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4E3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02FB4E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6C0D0B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BAA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9E1520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CF3022F">
            <w:pPr>
              <w:pStyle w:val="27"/>
              <w:spacing w:line="360" w:lineRule="auto"/>
              <w:rPr>
                <w:rFonts w:cs="宋体" w:asciiTheme="minorEastAsia" w:hAnsiTheme="minorEastAsia" w:eastAsiaTheme="minorEastAsia"/>
                <w:color w:val="auto"/>
                <w:kern w:val="2"/>
                <w:sz w:val="21"/>
                <w:szCs w:val="21"/>
              </w:rPr>
            </w:pPr>
          </w:p>
        </w:tc>
      </w:tr>
      <w:tr w14:paraId="5AEA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AF7C69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87AAB7B">
            <w:pPr>
              <w:pStyle w:val="27"/>
              <w:spacing w:line="360" w:lineRule="auto"/>
              <w:rPr>
                <w:rFonts w:cs="宋体" w:asciiTheme="minorEastAsia" w:hAnsiTheme="minorEastAsia" w:eastAsiaTheme="minorEastAsia"/>
                <w:color w:val="auto"/>
                <w:kern w:val="2"/>
                <w:sz w:val="21"/>
                <w:szCs w:val="21"/>
              </w:rPr>
            </w:pPr>
          </w:p>
        </w:tc>
      </w:tr>
      <w:tr w14:paraId="4E5A1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A3517E5">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874A561">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47A538D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2DBFB93A">
      <w:pPr>
        <w:pStyle w:val="27"/>
        <w:shd w:val="clear" w:color="auto" w:fill="FFFFFF"/>
        <w:spacing w:line="360" w:lineRule="auto"/>
        <w:rPr>
          <w:rFonts w:cs="宋体" w:asciiTheme="minorEastAsia" w:hAnsiTheme="minorEastAsia" w:eastAsiaTheme="minorEastAsia"/>
          <w:color w:val="auto"/>
          <w:kern w:val="2"/>
          <w:sz w:val="21"/>
          <w:szCs w:val="21"/>
        </w:rPr>
      </w:pPr>
    </w:p>
    <w:p w14:paraId="239EA50A">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EEF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D9B36E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37B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06206F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1DC359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58DF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51DAEB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72334DC">
            <w:pPr>
              <w:pStyle w:val="27"/>
              <w:spacing w:line="360" w:lineRule="auto"/>
              <w:rPr>
                <w:rFonts w:cs="宋体" w:asciiTheme="minorEastAsia" w:hAnsiTheme="minorEastAsia" w:eastAsiaTheme="minorEastAsia"/>
                <w:color w:val="auto"/>
                <w:kern w:val="2"/>
                <w:sz w:val="21"/>
                <w:szCs w:val="21"/>
              </w:rPr>
            </w:pPr>
          </w:p>
        </w:tc>
      </w:tr>
      <w:tr w14:paraId="524E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CE73B8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3619500">
            <w:pPr>
              <w:pStyle w:val="27"/>
              <w:spacing w:line="360" w:lineRule="auto"/>
              <w:rPr>
                <w:rFonts w:cs="宋体" w:asciiTheme="minorEastAsia" w:hAnsiTheme="minorEastAsia" w:eastAsiaTheme="minorEastAsia"/>
                <w:color w:val="auto"/>
                <w:kern w:val="2"/>
                <w:sz w:val="21"/>
                <w:szCs w:val="21"/>
              </w:rPr>
            </w:pPr>
          </w:p>
        </w:tc>
      </w:tr>
    </w:tbl>
    <w:p w14:paraId="6AB6071D">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1A7E4699">
        <w:tblPrEx>
          <w:tblCellMar>
            <w:top w:w="0" w:type="dxa"/>
            <w:left w:w="108" w:type="dxa"/>
            <w:bottom w:w="0" w:type="dxa"/>
            <w:right w:w="108" w:type="dxa"/>
          </w:tblCellMar>
        </w:tblPrEx>
        <w:tc>
          <w:tcPr>
            <w:tcW w:w="10008" w:type="dxa"/>
            <w:vAlign w:val="center"/>
          </w:tcPr>
          <w:p w14:paraId="63E01F5A">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4D9773BD">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2BAAC60A">
      <w:pPr>
        <w:spacing w:line="360" w:lineRule="auto"/>
        <w:jc w:val="left"/>
        <w:rPr>
          <w:szCs w:val="21"/>
        </w:rPr>
      </w:pPr>
    </w:p>
    <w:p w14:paraId="49E18804">
      <w:pPr>
        <w:pStyle w:val="2"/>
        <w:spacing w:line="360" w:lineRule="auto"/>
        <w:jc w:val="left"/>
      </w:pPr>
    </w:p>
    <w:p w14:paraId="007809C5">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E79501B">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59EE69B5">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72FBC31F">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D83144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A43F">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3BC1A473">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28311C1">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7E410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1758</Words>
  <Characters>2050</Characters>
  <Lines>16</Lines>
  <Paragraphs>4</Paragraphs>
  <TotalTime>82</TotalTime>
  <ScaleCrop>false</ScaleCrop>
  <LinksUpToDate>false</LinksUpToDate>
  <CharactersWithSpaces>2166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2024-11-08T01:36:10Z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