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受审核部门：</w:t>
            </w:r>
            <w:r>
              <w:rPr>
                <w:rFonts w:hint="eastAsia" w:ascii="宋体" w:hAnsi="宋体"/>
                <w:color w:val="auto"/>
                <w:sz w:val="18"/>
                <w:szCs w:val="22"/>
              </w:rPr>
              <w:t>项目部</w:t>
            </w:r>
            <w:r>
              <w:rPr>
                <w:rFonts w:hint="eastAsia" w:asciiTheme="minorEastAsia" w:hAnsiTheme="minorEastAsia" w:eastAsiaTheme="minorEastAsia" w:cstheme="minorEastAsia"/>
                <w:color w:val="auto"/>
                <w:szCs w:val="21"/>
              </w:rPr>
              <w:t xml:space="preserve">       主管领导：</w:t>
            </w:r>
            <w:r>
              <w:rPr>
                <w:rFonts w:hint="eastAsia"/>
              </w:rPr>
              <w:t>杨德雨</w:t>
            </w:r>
            <w:r>
              <w:rPr>
                <w:rFonts w:hint="eastAsia" w:asciiTheme="minorEastAsia" w:hAnsiTheme="minorEastAsia" w:eastAsiaTheme="minorEastAsia" w:cstheme="minorEastAsia"/>
                <w:color w:val="auto"/>
                <w:szCs w:val="21"/>
              </w:rPr>
              <w:t xml:space="preserve">   陪同人员：</w:t>
            </w:r>
            <w:r>
              <w:rPr>
                <w:rFonts w:hint="eastAsia"/>
              </w:rPr>
              <w:t>王祥</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审核员：</w:t>
            </w:r>
            <w:r>
              <w:rPr>
                <w:rFonts w:hint="eastAsia"/>
                <w:color w:val="auto"/>
                <w:sz w:val="18"/>
                <w:szCs w:val="18"/>
              </w:rPr>
              <w:t>李京田</w:t>
            </w:r>
            <w:r>
              <w:rPr>
                <w:rFonts w:hint="eastAsia" w:asciiTheme="minorEastAsia" w:hAnsiTheme="minorEastAsia" w:eastAsiaTheme="minorEastAsia" w:cstheme="minorEastAsia"/>
                <w:color w:val="auto"/>
                <w:szCs w:val="21"/>
              </w:rPr>
              <w:t xml:space="preserve">         审核时间：2020年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27</w:t>
            </w:r>
            <w:r>
              <w:rPr>
                <w:rFonts w:hint="eastAsia" w:asciiTheme="minorEastAsia" w:hAnsiTheme="minorEastAsia" w:eastAsiaTheme="minorEastAsia" w:cstheme="minorEastAsia"/>
                <w:color w:val="auto"/>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napToGrid w:val="0"/>
              <w:spacing w:line="260" w:lineRule="exact"/>
              <w:rPr>
                <w:rFonts w:ascii="宋体" w:hAnsi="宋体" w:cs="宋体"/>
                <w:b/>
                <w:bCs/>
                <w:szCs w:val="21"/>
              </w:rPr>
            </w:pPr>
            <w:r>
              <w:rPr>
                <w:rFonts w:hint="eastAsia"/>
              </w:rPr>
              <w:t>审核条款</w:t>
            </w:r>
            <w:r>
              <w:rPr>
                <w:rFonts w:hint="eastAsia" w:ascii="宋体" w:hAnsi="宋体"/>
                <w:sz w:val="18"/>
                <w:lang w:val="en-US" w:eastAsia="zh-CN"/>
              </w:rPr>
              <w:t>ES</w:t>
            </w:r>
            <w:r>
              <w:rPr>
                <w:rFonts w:ascii="宋体" w:hAnsi="宋体"/>
                <w:sz w:val="18"/>
              </w:rPr>
              <w:t>:5.3/6.1.2</w:t>
            </w:r>
            <w:r>
              <w:rPr>
                <w:rFonts w:hint="eastAsia" w:ascii="宋体" w:hAnsi="宋体"/>
                <w:sz w:val="18"/>
              </w:rPr>
              <w:t>/6.2/</w:t>
            </w:r>
            <w:r>
              <w:rPr>
                <w:rFonts w:ascii="宋体" w:hAnsi="宋体"/>
                <w:sz w:val="18"/>
              </w:rPr>
              <w:t>8.1/8.</w:t>
            </w:r>
            <w:r>
              <w:rPr>
                <w:rFonts w:hint="eastAsia" w:ascii="宋体" w:hAnsi="宋体"/>
                <w:sz w:val="18"/>
                <w:lang w:val="en-US" w:eastAsia="zh-CN"/>
              </w:rPr>
              <w:t>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spacing w:line="280" w:lineRule="exact"/>
              <w:ind w:firstLine="420"/>
              <w:rPr>
                <w:rFonts w:asciiTheme="minorEastAsia" w:hAnsiTheme="minorEastAsia" w:eastAsiaTheme="minorEastAsia" w:cstheme="minorEastAsia"/>
                <w:szCs w:val="21"/>
              </w:rPr>
            </w:pPr>
            <w:r>
              <w:rPr>
                <w:rFonts w:hint="eastAsia" w:ascii="宋体" w:hAnsi="宋体" w:cs="宋体"/>
                <w:szCs w:val="21"/>
              </w:rPr>
              <w:t>内外部信息交流过程；</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目标及其实现的策划总要求</w:t>
            </w:r>
          </w:p>
        </w:tc>
        <w:tc>
          <w:tcPr>
            <w:tcW w:w="1269" w:type="dxa"/>
          </w:tcPr>
          <w:p>
            <w:pPr>
              <w:spacing w:line="280" w:lineRule="exact"/>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S</w:t>
            </w:r>
            <w:r>
              <w:rPr>
                <w:rFonts w:hint="eastAsia" w:asciiTheme="minorEastAsia" w:hAnsiTheme="minorEastAsia" w:eastAsiaTheme="minorEastAsia" w:cstheme="minorEastAsia"/>
                <w:color w:val="000000" w:themeColor="text1"/>
                <w:kern w:val="0"/>
                <w:szCs w:val="21"/>
                <w14:textFill>
                  <w14:solidFill>
                    <w14:schemeClr w14:val="tx1"/>
                  </w14:solidFill>
                </w14:textFill>
              </w:rPr>
              <w:t>6.2</w:t>
            </w:r>
          </w:p>
          <w:p>
            <w:pPr>
              <w:spacing w:line="280" w:lineRule="exact"/>
              <w:rPr>
                <w:rFonts w:asciiTheme="minorEastAsia" w:hAnsiTheme="minorEastAsia" w:eastAsiaTheme="minorEastAsia" w:cstheme="minorEastAsia"/>
                <w:color w:val="000000" w:themeColor="text1"/>
                <w:szCs w:val="21"/>
                <w14:textFill>
                  <w14:solidFill>
                    <w14:schemeClr w14:val="tx1"/>
                  </w14:solidFill>
                </w14:textFill>
              </w:rPr>
            </w:pPr>
          </w:p>
        </w:tc>
        <w:tc>
          <w:tcPr>
            <w:tcW w:w="10947" w:type="dxa"/>
          </w:tcPr>
          <w:p>
            <w:pPr>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管理目标有：                               </w:t>
            </w:r>
            <w:r>
              <w:rPr>
                <w:rFonts w:hint="eastAsia" w:ascii="宋体" w:hAnsi="宋体" w:cs="宋体"/>
                <w:color w:val="000000" w:themeColor="text1"/>
                <w:szCs w:val="21"/>
                <w14:textFill>
                  <w14:solidFill>
                    <w14:schemeClr w14:val="tx1"/>
                  </w14:solidFill>
                </w14:textFill>
              </w:rPr>
              <w:t>查20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月考核统计</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p>
            <w:pPr>
              <w:pStyle w:val="2"/>
              <w:ind w:firstLine="210" w:firstLineChars="10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 重大以上事故发生率0                                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火灾事故为0                                       0</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固废分类处置率100%                              100%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0"/>
                <w:kern w:val="2"/>
                <w:sz w:val="21"/>
                <w:szCs w:val="21"/>
                <w:lang w:val="en-US" w:eastAsia="zh-CN" w:bidi="ar-SA"/>
                <w14:textFill>
                  <w14:solidFill>
                    <w14:schemeClr w14:val="tx1"/>
                  </w14:solidFill>
                </w14:textFill>
              </w:rPr>
              <w:t xml:space="preserve">环境污染事故发生率为0                           0    </w:t>
            </w:r>
          </w:p>
          <w:p>
            <w:pPr>
              <w:spacing w:line="28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目标可测量，与公司方针一致。</w:t>
            </w:r>
          </w:p>
          <w:p>
            <w:pPr>
              <w:ind w:left="210" w:leftChars="100" w:firstLine="210" w:firstLineChars="100"/>
              <w:rPr>
                <w:rFonts w:hint="eastAsia" w:ascii="宋体" w:hAnsi="宋体" w:cs="宋体"/>
                <w:color w:val="000000" w:themeColor="text1"/>
                <w:szCs w:val="21"/>
                <w14:textFill>
                  <w14:solidFill>
                    <w14:schemeClr w14:val="tx1"/>
                  </w14:solidFill>
                </w14:textFill>
              </w:rPr>
            </w:pP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环境和职业健康安全体系建立了管理方案，查管理方案表：</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1、办公用硒鼓、墨盒等固废等原材料废弃物等分类收集保管，交由相应部门处置；</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2、杜绝火灾发生，制定了管理方案并严格执行，配备必要的防火设施（包括灭火器</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、消防栓等）并保证其完好</w:t>
            </w:r>
          </w:p>
          <w:p>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 成立应急响应工作小组（见《应急预案》）</w:t>
            </w:r>
          </w:p>
          <w:p>
            <w:pPr>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c</w:t>
            </w:r>
            <w:r>
              <w:rPr>
                <w:rFonts w:hint="eastAsia" w:ascii="宋体" w:hAnsi="宋体" w:cs="宋体"/>
                <w:color w:val="000000" w:themeColor="text1"/>
                <w:szCs w:val="21"/>
                <w14:textFill>
                  <w14:solidFill>
                    <w14:schemeClr w14:val="tx1"/>
                  </w14:solidFill>
                </w14:textFill>
              </w:rPr>
              <w:t>. 淘汰过期、报废设备,对灭火器更新；每年进行一次消防演习。执行部门：各部门，检查人：</w:t>
            </w:r>
            <w:r>
              <w:rPr>
                <w:rFonts w:hint="eastAsia"/>
                <w:color w:val="000000" w:themeColor="text1"/>
                <w14:textFill>
                  <w14:solidFill>
                    <w14:schemeClr w14:val="tx1"/>
                  </w14:solidFill>
                </w14:textFill>
              </w:rPr>
              <w:t>李德超</w:t>
            </w:r>
            <w:r>
              <w:rPr>
                <w:rFonts w:hint="eastAsia" w:ascii="宋体" w:hAnsi="宋体" w:cs="宋体"/>
                <w:color w:val="000000" w:themeColor="text1"/>
                <w:szCs w:val="21"/>
                <w14:textFill>
                  <w14:solidFill>
                    <w14:schemeClr w14:val="tx1"/>
                  </w14:solidFill>
                </w14:textFill>
              </w:rPr>
              <w:t>，责任部门：</w:t>
            </w:r>
            <w:r>
              <w:rPr>
                <w:rFonts w:hint="eastAsia" w:ascii="宋体" w:hAnsi="宋体"/>
                <w:color w:val="000000" w:themeColor="text1"/>
                <w:szCs w:val="21"/>
                <w:lang w:val="en-US" w:eastAsia="zh-CN"/>
                <w14:textFill>
                  <w14:solidFill>
                    <w14:schemeClr w14:val="tx1"/>
                  </w14:solidFill>
                </w14:textFill>
              </w:rPr>
              <w:t>综合部</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3、电线老化引发火灾、临时接电触电</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管理方案：</w:t>
            </w:r>
            <w:r>
              <w:rPr>
                <w:rFonts w:ascii="宋体" w:hAnsi="宋体" w:cs="宋体"/>
                <w:color w:val="000000" w:themeColor="text1"/>
                <w:szCs w:val="21"/>
                <w14:textFill>
                  <w14:solidFill>
                    <w14:schemeClr w14:val="tx1"/>
                  </w14:solidFill>
                </w14:textFill>
              </w:rPr>
              <w:t>a</w:t>
            </w:r>
            <w:r>
              <w:rPr>
                <w:rFonts w:hint="eastAsia" w:ascii="宋体" w:hAnsi="宋体" w:cs="宋体"/>
                <w:color w:val="000000" w:themeColor="text1"/>
                <w:szCs w:val="21"/>
                <w14:textFill>
                  <w14:solidFill>
                    <w14:schemeClr w14:val="tx1"/>
                  </w14:solidFill>
                </w14:textFill>
              </w:rPr>
              <w:t xml:space="preserve">、电线检修  </w:t>
            </w:r>
            <w:r>
              <w:rPr>
                <w:rFonts w:ascii="宋体" w:hAnsi="宋体" w:cs="宋体"/>
                <w:color w:val="000000" w:themeColor="text1"/>
                <w:szCs w:val="21"/>
                <w14:textFill>
                  <w14:solidFill>
                    <w14:schemeClr w14:val="tx1"/>
                  </w14:solidFill>
                </w14:textFill>
              </w:rPr>
              <w:t>b</w:t>
            </w:r>
            <w:r>
              <w:rPr>
                <w:rFonts w:hint="eastAsia" w:ascii="宋体" w:hAnsi="宋体" w:cs="宋体"/>
                <w:color w:val="000000" w:themeColor="text1"/>
                <w:szCs w:val="21"/>
                <w14:textFill>
                  <w14:solidFill>
                    <w14:schemeClr w14:val="tx1"/>
                  </w14:solidFill>
                </w14:textFill>
              </w:rPr>
              <w:t>、对职工进行安全教育培训。执行部门：各部门，责任人：</w:t>
            </w:r>
            <w:r>
              <w:rPr>
                <w:rFonts w:hint="eastAsia"/>
                <w:color w:val="000000" w:themeColor="text1"/>
                <w14:textFill>
                  <w14:solidFill>
                    <w14:schemeClr w14:val="tx1"/>
                  </w14:solidFill>
                </w14:textFill>
              </w:rPr>
              <w:t>李德超</w:t>
            </w:r>
            <w:r>
              <w:rPr>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执行日期：</w:t>
            </w:r>
            <w:r>
              <w:rPr>
                <w:rFonts w:hint="eastAsia" w:ascii="宋体" w:hAnsi="宋体"/>
                <w:color w:val="000000" w:themeColor="text1"/>
                <w:szCs w:val="21"/>
                <w14:textFill>
                  <w14:solidFill>
                    <w14:schemeClr w14:val="tx1"/>
                  </w14:solidFill>
                </w14:textFill>
              </w:rPr>
              <w:t>2019年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月-20</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年12月。</w:t>
            </w:r>
          </w:p>
          <w:p>
            <w:pPr>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上述目标、指标2</w:t>
            </w:r>
            <w:r>
              <w:rPr>
                <w:rFonts w:ascii="宋体" w:hAnsi="宋体" w:cs="宋体"/>
                <w:color w:val="000000" w:themeColor="text1"/>
                <w:szCs w:val="21"/>
                <w14:textFill>
                  <w14:solidFill>
                    <w14:schemeClr w14:val="tx1"/>
                  </w14:solidFill>
                </w14:textFill>
              </w:rPr>
              <w:t>019</w:t>
            </w:r>
            <w:r>
              <w:rPr>
                <w:rFonts w:hint="eastAsia" w:ascii="宋体" w:hAnsi="宋体" w:cs="宋体"/>
                <w:color w:val="000000" w:themeColor="text1"/>
                <w:szCs w:val="21"/>
                <w14:textFill>
                  <w14:solidFill>
                    <w14:schemeClr w14:val="tx1"/>
                  </w14:solidFill>
                </w14:textFill>
              </w:rPr>
              <w:t>年第二、三季度进行考核，考核结果：全部达标，检查人：</w:t>
            </w:r>
            <w:r>
              <w:rPr>
                <w:rFonts w:hint="eastAsia"/>
                <w:color w:val="000000" w:themeColor="text1"/>
                <w:lang w:eastAsia="zh-CN"/>
                <w14:textFill>
                  <w14:solidFill>
                    <w14:schemeClr w14:val="tx1"/>
                  </w14:solidFill>
                </w14:textFill>
              </w:rPr>
              <w:t>冯俊</w:t>
            </w:r>
            <w:r>
              <w:rPr>
                <w:rFonts w:hint="eastAsia" w:ascii="宋体" w:hAnsi="宋体" w:cs="宋体"/>
                <w:color w:val="000000" w:themeColor="text1"/>
                <w:szCs w:val="21"/>
                <w14:textFill>
                  <w14:solidFill>
                    <w14:schemeClr w14:val="tx1"/>
                  </w14:solidFill>
                </w14:textFill>
              </w:rPr>
              <w:t>。制定的指标和管理方案基本可行。</w:t>
            </w:r>
          </w:p>
        </w:tc>
        <w:tc>
          <w:tcPr>
            <w:tcW w:w="837" w:type="dxa"/>
          </w:tcPr>
          <w:p>
            <w:pPr>
              <w:rPr>
                <w:rFonts w:asciiTheme="minorEastAsia" w:hAnsiTheme="minorEastAsia" w:eastAsiaTheme="minorEastAsia" w:cs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pPr>
              <w:rPr>
                <w:szCs w:val="21"/>
              </w:rPr>
            </w:pPr>
          </w:p>
        </w:tc>
        <w:tc>
          <w:tcPr>
            <w:tcW w:w="10947"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个  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w:t>
            </w:r>
            <w:r>
              <w:rPr>
                <w:rFonts w:hint="eastAsia" w:asciiTheme="minorEastAsia" w:hAnsiTheme="minorEastAsia" w:eastAsiaTheme="minorEastAsia" w:cstheme="minorEastAsia"/>
                <w:szCs w:val="21"/>
              </w:rPr>
              <w:t>许丽飞</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val="0"/>
                <w:spacing w:val="0"/>
                <w:szCs w:val="21"/>
              </w:rPr>
              <w:t>提供了20</w:t>
            </w:r>
            <w:r>
              <w:rPr>
                <w:rFonts w:hint="eastAsia" w:asciiTheme="minorEastAsia" w:hAnsiTheme="minorEastAsia" w:eastAsiaTheme="minorEastAsia" w:cstheme="minorEastAsia"/>
                <w:bCs w:val="0"/>
                <w:spacing w:val="0"/>
                <w:szCs w:val="21"/>
                <w:lang w:val="en-US" w:eastAsia="zh-CN"/>
              </w:rPr>
              <w:t>20</w:t>
            </w:r>
            <w:r>
              <w:rPr>
                <w:rFonts w:hint="eastAsia" w:asciiTheme="minorEastAsia" w:hAnsiTheme="minorEastAsia" w:eastAsiaTheme="minorEastAsia" w:cstheme="minorEastAsia"/>
                <w:bCs w:val="0"/>
                <w:spacing w:val="0"/>
                <w:szCs w:val="21"/>
              </w:rPr>
              <w:t>年</w:t>
            </w:r>
            <w:r>
              <w:rPr>
                <w:rFonts w:hint="eastAsia" w:asciiTheme="minorEastAsia" w:hAnsiTheme="minorEastAsia" w:eastAsiaTheme="minorEastAsia" w:cstheme="minorEastAsia"/>
                <w:bCs w:val="0"/>
                <w:spacing w:val="0"/>
                <w:szCs w:val="21"/>
                <w:lang w:val="en-US" w:eastAsia="zh-CN"/>
              </w:rPr>
              <w:t>1</w:t>
            </w:r>
            <w:r>
              <w:rPr>
                <w:rFonts w:hint="eastAsia" w:asciiTheme="minorEastAsia" w:hAnsiTheme="minorEastAsia" w:eastAsiaTheme="minorEastAsia" w:cstheme="minorEastAsia"/>
                <w:bCs w:val="0"/>
                <w:spacing w:val="0"/>
                <w:szCs w:val="21"/>
              </w:rPr>
              <w:t>-</w:t>
            </w:r>
            <w:r>
              <w:rPr>
                <w:rFonts w:hint="eastAsia" w:asciiTheme="minorEastAsia" w:hAnsiTheme="minorEastAsia" w:eastAsiaTheme="minorEastAsia" w:cstheme="minorEastAsia"/>
                <w:bCs w:val="0"/>
                <w:spacing w:val="0"/>
                <w:szCs w:val="21"/>
                <w:lang w:val="en-US" w:eastAsia="zh-CN"/>
              </w:rPr>
              <w:t>3</w:t>
            </w:r>
            <w:r>
              <w:rPr>
                <w:rFonts w:hint="eastAsia" w:asciiTheme="minorEastAsia" w:hAnsiTheme="minorEastAsia" w:eastAsiaTheme="minorEastAsia" w:cstheme="minorEastAsia"/>
                <w:bCs w:val="0"/>
                <w:spacing w:val="0"/>
                <w:szCs w:val="21"/>
              </w:rPr>
              <w:t>月份工作职业安全检查表，抽查：办公环境、卫生、安全等情况进行了检查，检查</w:t>
            </w:r>
            <w:r>
              <w:rPr>
                <w:rFonts w:hint="eastAsia" w:asciiTheme="minorEastAsia" w:hAnsiTheme="minorEastAsia" w:eastAsiaTheme="minorEastAsia" w:cstheme="minorEastAsia"/>
                <w:bCs w:val="0"/>
                <w:color w:val="auto"/>
                <w:spacing w:val="0"/>
                <w:szCs w:val="21"/>
              </w:rPr>
              <w:t>人：</w:t>
            </w:r>
            <w:r>
              <w:rPr>
                <w:rFonts w:hint="eastAsia"/>
              </w:rPr>
              <w:t>李德超</w:t>
            </w:r>
            <w:bookmarkStart w:id="0" w:name="_GoBack"/>
            <w:bookmarkEnd w:id="0"/>
            <w:r>
              <w:rPr>
                <w:rFonts w:hint="eastAsia" w:asciiTheme="minorEastAsia" w:hAnsiTheme="minorEastAsia" w:eastAsiaTheme="minorEastAsia" w:cstheme="minorEastAsia"/>
                <w:bCs w:val="0"/>
                <w:color w:val="auto"/>
                <w:spacing w:val="0"/>
                <w:szCs w:val="21"/>
              </w:rPr>
              <w:t>，无问题。公司</w:t>
            </w:r>
            <w:r>
              <w:rPr>
                <w:rFonts w:hint="eastAsia" w:asciiTheme="minorEastAsia" w:hAnsiTheme="minorEastAsia" w:eastAsiaTheme="minorEastAsia" w:cstheme="minorEastAsia"/>
                <w:color w:val="auto"/>
                <w:szCs w:val="21"/>
              </w:rPr>
              <w:t>无食堂。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0C13339"/>
    <w:rsid w:val="127C0884"/>
    <w:rsid w:val="127E6F4E"/>
    <w:rsid w:val="13070F9C"/>
    <w:rsid w:val="13937400"/>
    <w:rsid w:val="13B32E43"/>
    <w:rsid w:val="13E03628"/>
    <w:rsid w:val="13E21228"/>
    <w:rsid w:val="14083AFA"/>
    <w:rsid w:val="14477BD8"/>
    <w:rsid w:val="14585FDB"/>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1E280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1</TotalTime>
  <ScaleCrop>false</ScaleCrop>
  <LinksUpToDate>false</LinksUpToDate>
  <CharactersWithSpaces>5059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2020-06-29T12:29:24Z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