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邯郸市军威泵业制造有限公司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E：17.10.02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E：17.10.02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r>
              <w:rPr>
                <w:rFonts w:hint="eastAsia" w:ascii="宋体"/>
                <w:color w:val="000000"/>
                <w:sz w:val="20"/>
                <w:szCs w:val="20"/>
              </w:rPr>
              <w:t>采购毛坯件-机加工-打磨-检验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生产任务未按时完成，设备故障，工人操作不当，控制措施：生产和服务控制程序、设备操作规程、作业指导书；无特殊过程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中华人民共和国合同法、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环境保护法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消防法、固体废弃物环境防治法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GB1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348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008工业企业厂界环境噪声排放标准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GB/T16907-2014 离心泵技术条件(Ⅰ类) 、工作场所有害因素职业接触限值第2部分物理因素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外观尺寸，符合客户要求，无型式检验要求。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2020.6.22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722693C"/>
    <w:rsid w:val="55FB0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2020-06-29T09:52:48Z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