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唐山灿昊物流有限公司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鲍阳阳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2024年10月29日 上午至2024年10月30日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佟刚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