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sz w:val="24"/>
          <w:szCs w:val="24"/>
        </w:rPr>
      </w:pPr>
      <w:r>
        <w:rPr>
          <w:rFonts w:hint="eastAsia" w:ascii="宋体" w:hAnsi="宋体"/>
          <w:sz w:val="24"/>
          <w:szCs w:val="24"/>
          <w:lang w:eastAsia="zh-CN"/>
        </w:rPr>
        <w:t>合同</w:t>
      </w:r>
      <w:r>
        <w:rPr>
          <w:rFonts w:hint="eastAsia" w:ascii="宋体" w:hAnsi="宋体"/>
          <w:sz w:val="24"/>
          <w:szCs w:val="24"/>
        </w:rPr>
        <w:t>编号：</w:t>
      </w:r>
      <w:bookmarkStart w:id="0" w:name="合同编号"/>
      <w:r>
        <w:rPr>
          <w:sz w:val="24"/>
          <w:szCs w:val="24"/>
        </w:rPr>
        <w:t>0269-2020-EO</w:t>
      </w:r>
      <w:bookmarkEnd w:id="0"/>
    </w:p>
    <w:p>
      <w:pPr>
        <w:snapToGrid w:val="0"/>
        <w:spacing w:after="94" w:afterLines="30"/>
        <w:jc w:val="both"/>
        <w:rPr>
          <w:sz w:val="24"/>
          <w:szCs w:val="24"/>
        </w:rPr>
      </w:pPr>
    </w:p>
    <w:p>
      <w:pPr>
        <w:snapToGrid w:val="0"/>
        <w:spacing w:after="94" w:afterLines="30"/>
        <w:jc w:val="both"/>
        <w:rPr>
          <w:sz w:val="24"/>
          <w:szCs w:val="24"/>
        </w:rPr>
      </w:pPr>
    </w:p>
    <w:p>
      <w:pPr>
        <w:snapToGrid w:val="0"/>
        <w:spacing w:after="94" w:afterLines="30"/>
        <w:jc w:val="both"/>
        <w:rPr>
          <w:sz w:val="24"/>
          <w:szCs w:val="2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自贡天祥机械有限公司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E：GB/T 24001-2016idtISO 14001:2015,O：GB/T45001—2020/ISO 45001:2018</w:t>
      </w:r>
      <w:bookmarkEnd w:id="5"/>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自贡天祥机械有限公司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荣县旭阳镇望江村5组</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643100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荣县旭阳镇付西路228号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643100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朱志明</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15196039865</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龚华富</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龚华富</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康英文</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E：粮食仓储设备、粮食通风设备、户外照明用灯具及装置、仪器仪表、农用薄膜、建筑装饰材料（不含危险化学品）的销售及相关环境管理活动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O：粮食仓储设备、粮食通风设备、户外照明用灯具及装置、仪器仪表、农用薄膜、建筑装饰材料（不含危险化学品）的销售及相关职业健康安全管理活动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E：29.12.00</w:t>
            </w:r>
          </w:p>
          <w:p>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cs="宋体" w:hAnsiTheme="minorHAnsi"/>
                <w:color w:val="000000" w:themeColor="text1"/>
                <w:kern w:val="0"/>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2020-01-01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方针、目标管理；文件、记录控制程；管理评审；内审管理；人员、部门职能职责和权限；风险识别评价管理；环境因素识别评价管理；纠正和预防措施控制；监视和测量设备管理；设备设施管理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销售部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不合格品控制；合同管理；外部供方管理；产品验收管理；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eastAsia="宋体"/>
                <w:b/>
                <w:sz w:val="20"/>
                <w:szCs w:val="20"/>
                <w:lang w:eastAsia="zh-CN"/>
              </w:rPr>
            </w:pPr>
            <w:r>
              <w:rPr>
                <w:rFonts w:hint="eastAsia" w:ascii="宋体" w:hAnsi="宋体"/>
                <w:szCs w:val="21"/>
              </w:rPr>
              <w:t>粮食仓储设备、粮食通风设备、户外照明用灯具及装置、仪器仪表、农用薄膜、建筑装饰材料（不含危险化学品）的销售</w:t>
            </w:r>
            <w:r>
              <w:rPr>
                <w:rFonts w:hint="eastAsia" w:ascii="宋体" w:hAnsi="宋体"/>
                <w:szCs w:val="21"/>
                <w:lang w:eastAsia="zh-CN"/>
              </w:rPr>
              <w:t>。</w:t>
            </w:r>
          </w:p>
        </w:tc>
        <w:tc>
          <w:tcPr>
            <w:tcW w:w="2519" w:type="dxa"/>
          </w:tcPr>
          <w:p>
            <w:pPr>
              <w:rPr>
                <w:b/>
                <w:sz w:val="20"/>
                <w:szCs w:val="20"/>
              </w:rPr>
            </w:pPr>
            <w:r>
              <w:rPr>
                <w:rFonts w:hint="eastAsia"/>
                <w:b/>
                <w:sz w:val="20"/>
                <w:szCs w:val="20"/>
              </w:rPr>
              <w:t>服务</w:t>
            </w:r>
          </w:p>
        </w:tc>
        <w:tc>
          <w:tcPr>
            <w:tcW w:w="1843" w:type="dxa"/>
          </w:tcPr>
          <w:p>
            <w:pPr>
              <w:rPr>
                <w:b/>
                <w:sz w:val="20"/>
                <w:szCs w:val="20"/>
              </w:rPr>
            </w:pPr>
          </w:p>
        </w:tc>
        <w:tc>
          <w:tcPr>
            <w:tcW w:w="3543" w:type="dxa"/>
          </w:tcPr>
          <w:p>
            <w:pPr>
              <w:rPr>
                <w:b/>
                <w:sz w:val="20"/>
                <w:szCs w:val="20"/>
              </w:rPr>
            </w:pPr>
            <w:r>
              <w:rPr>
                <w:rFonts w:ascii="宋体" w:hAnsi="宋体" w:cs="Arial"/>
                <w:color w:val="000000"/>
                <w:szCs w:val="21"/>
                <w:shd w:val="clear" w:color="auto" w:fill="FFFFFF"/>
              </w:rPr>
              <w:t>中华人民共和国产品质量法</w:t>
            </w:r>
            <w:r>
              <w:rPr>
                <w:rFonts w:hint="eastAsia" w:ascii="宋体" w:hAnsi="宋体" w:cs="Arial"/>
                <w:color w:val="000000"/>
                <w:szCs w:val="21"/>
                <w:shd w:val="clear" w:color="auto" w:fill="FFFFFF"/>
              </w:rPr>
              <w:t>、</w:t>
            </w:r>
            <w:r>
              <w:rPr>
                <w:rFonts w:hint="eastAsia"/>
              </w:rPr>
              <w:t>中华人民共和国消费者权益保护法</w:t>
            </w:r>
            <w:r>
              <w:rPr>
                <w:rFonts w:hint="eastAsia" w:ascii="宋体" w:hAnsi="宋体"/>
                <w:szCs w:val="21"/>
              </w:rPr>
              <w:t>、合同协议。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rPr>
        <w:t>年</w:t>
      </w:r>
      <w:r>
        <w:rPr>
          <w:rFonts w:hint="eastAsia"/>
          <w:b/>
          <w:color w:val="000000" w:themeColor="text1"/>
          <w:spacing w:val="-10"/>
          <w:szCs w:val="21"/>
          <w:u w:val="single"/>
          <w:lang w:val="en-US" w:eastAsia="zh-CN"/>
        </w:rPr>
        <w:t>1</w:t>
      </w:r>
      <w:r>
        <w:rPr>
          <w:rFonts w:hint="eastAsia"/>
          <w:b/>
          <w:color w:val="000000" w:themeColor="text1"/>
          <w:spacing w:val="-10"/>
          <w:szCs w:val="21"/>
        </w:rPr>
        <w:t>月</w:t>
      </w:r>
      <w:bookmarkStart w:id="21" w:name="OLE_LINK1"/>
      <w:r>
        <w:rPr>
          <w:rFonts w:hint="eastAsia"/>
          <w:b/>
          <w:color w:val="000000" w:themeColor="text1"/>
          <w:spacing w:val="-10"/>
          <w:szCs w:val="21"/>
          <w:u w:val="single"/>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2020</w:t>
      </w:r>
      <w:r>
        <w:rPr>
          <w:rFonts w:hint="eastAsia"/>
          <w:b/>
          <w:color w:val="000000" w:themeColor="text1"/>
          <w:spacing w:val="-10"/>
          <w:szCs w:val="21"/>
        </w:rPr>
        <w:t>年</w:t>
      </w:r>
      <w:r>
        <w:rPr>
          <w:rFonts w:hint="eastAsia"/>
          <w:b/>
          <w:color w:val="000000" w:themeColor="text1"/>
          <w:spacing w:val="-10"/>
          <w:szCs w:val="21"/>
          <w:u w:val="single"/>
          <w:lang w:val="en-US" w:eastAsia="zh-CN"/>
        </w:rPr>
        <w:t>6</w:t>
      </w:r>
      <w:r>
        <w:rPr>
          <w:rFonts w:hint="eastAsia"/>
          <w:b/>
          <w:color w:val="000000" w:themeColor="text1"/>
          <w:spacing w:val="-10"/>
          <w:szCs w:val="21"/>
        </w:rPr>
        <w:t>月</w:t>
      </w:r>
      <w:r>
        <w:rPr>
          <w:rFonts w:hint="eastAsia"/>
          <w:b/>
          <w:color w:val="000000" w:themeColor="text1"/>
          <w:spacing w:val="-10"/>
          <w:szCs w:val="21"/>
          <w:u w:val="single"/>
          <w:lang w:val="en-US" w:eastAsia="zh-CN"/>
        </w:rPr>
        <w:t>21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widowControl/>
              <w:suppressLineNumbers w:val="0"/>
              <w:jc w:val="left"/>
              <w:rPr>
                <w:rFonts w:hint="eastAsia"/>
                <w:szCs w:val="22"/>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宋体" w:hAnsi="宋体"/>
                <w:color w:val="000000" w:themeColor="text1"/>
                <w:lang w:eastAsia="zh-CN"/>
              </w:rPr>
              <w:t>质量、</w:t>
            </w:r>
            <w:r>
              <w:rPr>
                <w:rFonts w:hint="eastAsia" w:ascii="宋体" w:hAnsi="宋体" w:cs="宋体"/>
                <w:szCs w:val="21"/>
              </w:rPr>
              <w:t>环境管理</w:t>
            </w:r>
            <w:r>
              <w:rPr>
                <w:rFonts w:hint="eastAsia" w:ascii="宋体" w:hAnsi="宋体" w:cs="宋体"/>
                <w:szCs w:val="21"/>
                <w:lang w:eastAsia="zh-CN"/>
              </w:rPr>
              <w:t>、</w:t>
            </w:r>
            <w:r>
              <w:rPr>
                <w:rFonts w:hint="eastAsia" w:asciiTheme="minorEastAsia" w:hAnsiTheme="minorEastAsia" w:eastAsiaTheme="minorEastAsia" w:cstheme="minorEastAsia"/>
                <w:szCs w:val="21"/>
              </w:rPr>
              <w:t>职业健康安全</w:t>
            </w:r>
            <w:r>
              <w:rPr>
                <w:rFonts w:hint="eastAsia" w:ascii="宋体" w:hAnsi="宋体" w:cs="宋体"/>
                <w:szCs w:val="21"/>
              </w:rPr>
              <w:t xml:space="preserve">方针： </w:t>
            </w:r>
            <w:r>
              <w:rPr>
                <w:rFonts w:hint="eastAsia"/>
                <w:szCs w:val="22"/>
              </w:rPr>
              <w:t>“</w:t>
            </w:r>
            <w:r>
              <w:rPr>
                <w:rFonts w:hint="eastAsia" w:ascii="宋体" w:hAnsi="宋体" w:eastAsia="宋体" w:cs="宋体"/>
                <w:color w:val="000000"/>
                <w:kern w:val="0"/>
                <w:sz w:val="21"/>
                <w:szCs w:val="21"/>
                <w:lang w:val="en-US" w:eastAsia="zh-CN" w:bidi="ar"/>
              </w:rPr>
              <w:t>品</w:t>
            </w:r>
            <w:r>
              <w:rPr>
                <w:rFonts w:hint="eastAsia" w:ascii="宋体" w:hAnsi="宋体" w:cs="宋体"/>
                <w:color w:val="000000"/>
                <w:kern w:val="0"/>
                <w:sz w:val="21"/>
                <w:szCs w:val="21"/>
                <w:lang w:val="en-US" w:eastAsia="zh-CN" w:bidi="ar"/>
              </w:rPr>
              <w:t>质</w:t>
            </w:r>
            <w:r>
              <w:rPr>
                <w:rFonts w:hint="eastAsia" w:ascii="宋体" w:hAnsi="宋体" w:eastAsia="宋体" w:cs="宋体"/>
                <w:color w:val="000000"/>
                <w:kern w:val="0"/>
                <w:sz w:val="21"/>
                <w:szCs w:val="21"/>
                <w:lang w:val="en-US" w:eastAsia="zh-CN" w:bidi="ar"/>
              </w:rPr>
              <w:t>第一,顾客至上； 环保节能，安全生产； 持续改进，高效发展</w:t>
            </w:r>
            <w:r>
              <w:rPr>
                <w:rFonts w:hint="eastAsia"/>
                <w:szCs w:val="22"/>
              </w:rPr>
              <w:t>”。</w:t>
            </w:r>
          </w:p>
          <w:p>
            <w:pPr>
              <w:jc w:val="left"/>
              <w:rPr>
                <w:rFonts w:asciiTheme="minorEastAsia" w:hAnsiTheme="minorEastAsia" w:eastAsiaTheme="minorEastAsia" w:cstheme="minorEastAsia"/>
                <w:szCs w:val="21"/>
              </w:rPr>
            </w:pPr>
          </w:p>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highlight w:val="green"/>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1" o:spid="_x0000_s2051" o:spt="32" type="#_x0000_t32" style="position:absolute;left:0pt;margin-left:157.9pt;margin-top:12.75pt;height:0pt;width:261.75pt;z-index:25167052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2" o:spid="_x0000_s2052" o:spt="32" type="#_x0000_t32" style="position:absolute;left:0pt;margin-left:55.15pt;margin-top:12.75pt;height:0pt;width:42pt;z-index:25166950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组织建立了危险源识别、评价控制程序，识别评价了危险源、风险相关的过程，评价出了重要危险源，与之相关的过程有客户开发、销售，针对重要危险源制定了管理方案。控制措施实施有效。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ind w:firstLine="1365" w:firstLineChars="650"/>
              <w:rPr>
                <w:highlight w:val="none"/>
              </w:rPr>
            </w:pPr>
            <w:r>
              <w:rPr>
                <w:rFonts w:hint="eastAsia"/>
              </w:rPr>
              <w:t>环境、职业健康安全目标：（考核</w:t>
            </w:r>
            <w:r>
              <w:rPr>
                <w:rFonts w:hint="eastAsia"/>
                <w:highlight w:val="none"/>
              </w:rPr>
              <w:t>时间20</w:t>
            </w:r>
            <w:r>
              <w:rPr>
                <w:rFonts w:hint="eastAsia"/>
                <w:highlight w:val="none"/>
                <w:lang w:val="en-US" w:eastAsia="zh-CN"/>
              </w:rPr>
              <w:t>20</w:t>
            </w:r>
            <w:r>
              <w:rPr>
                <w:rFonts w:hint="eastAsia"/>
                <w:highlight w:val="none"/>
              </w:rPr>
              <w:t>年</w:t>
            </w:r>
            <w:r>
              <w:rPr>
                <w:rFonts w:hint="eastAsia"/>
                <w:highlight w:val="none"/>
                <w:lang w:val="en-US" w:eastAsia="zh-CN"/>
              </w:rPr>
              <w:t>1</w:t>
            </w:r>
            <w:r>
              <w:rPr>
                <w:rFonts w:hint="eastAsia"/>
                <w:highlight w:val="none"/>
              </w:rPr>
              <w:t>月-2020年</w:t>
            </w:r>
            <w:r>
              <w:rPr>
                <w:rFonts w:hint="eastAsia"/>
                <w:highlight w:val="none"/>
                <w:lang w:val="en-US" w:eastAsia="zh-CN"/>
              </w:rPr>
              <w:t>5</w:t>
            </w:r>
            <w:r>
              <w:rPr>
                <w:rFonts w:hint="eastAsia"/>
                <w:highlight w:val="none"/>
              </w:rPr>
              <w:t>月）</w:t>
            </w:r>
          </w:p>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r>
              <w:rPr>
                <w:highlight w:val="none"/>
              </w:rPr>
              <w:t>固体废弃物分类收集、统一回收处置率 100%</w:t>
            </w:r>
            <w:r>
              <w:rPr>
                <w:rFonts w:hint="eastAsia" w:asciiTheme="minorEastAsia" w:hAnsiTheme="minorEastAsia" w:eastAsiaTheme="minorEastAsia" w:cstheme="minorEastAsia"/>
                <w:szCs w:val="21"/>
                <w:highlight w:val="none"/>
              </w:rPr>
              <w:t>；           100%</w:t>
            </w:r>
          </w:p>
          <w:p>
            <w:pPr>
              <w:numPr>
                <w:ilvl w:val="0"/>
                <w:numId w:val="0"/>
              </w:num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r>
              <w:rPr>
                <w:highlight w:val="none"/>
              </w:rPr>
              <w:t>火灾事故发生率为零</w:t>
            </w:r>
            <w:r>
              <w:rPr>
                <w:rFonts w:hint="eastAsia"/>
                <w:highlight w:val="none"/>
                <w:lang w:eastAsia="zh-CN"/>
              </w:rPr>
              <w:t>；</w:t>
            </w:r>
            <w:r>
              <w:rPr>
                <w:rFonts w:hint="eastAsia"/>
                <w:highlight w:val="none"/>
                <w:lang w:val="en-US" w:eastAsia="zh-CN"/>
              </w:rPr>
              <w:t xml:space="preserve">                               </w:t>
            </w:r>
            <w:r>
              <w:rPr>
                <w:rFonts w:hint="eastAsia"/>
                <w:szCs w:val="21"/>
                <w:highlight w:val="none"/>
              </w:rPr>
              <w:t>无火灾事故发生</w:t>
            </w:r>
          </w:p>
          <w:p>
            <w:pPr>
              <w:numPr>
                <w:ilvl w:val="0"/>
                <w:numId w:val="0"/>
              </w:numPr>
              <w:jc w:val="left"/>
              <w:rPr>
                <w:rFonts w:hint="eastAsia"/>
                <w:highlight w:val="none"/>
                <w:lang w:val="en-US" w:eastAsia="zh-CN"/>
              </w:rPr>
            </w:pPr>
            <w:r>
              <w:rPr>
                <w:rFonts w:hint="eastAsia" w:asciiTheme="minorEastAsia" w:hAnsiTheme="minorEastAsia" w:eastAsiaTheme="minorEastAsia" w:cstheme="minorEastAsia"/>
                <w:szCs w:val="21"/>
                <w:highlight w:val="none"/>
              </w:rPr>
              <w:t>3、</w:t>
            </w:r>
            <w:r>
              <w:rPr>
                <w:highlight w:val="none"/>
              </w:rPr>
              <w:t>杜绝重大环境污染事故发生</w:t>
            </w:r>
            <w:r>
              <w:rPr>
                <w:rFonts w:hint="eastAsia"/>
                <w:highlight w:val="none"/>
                <w:lang w:eastAsia="zh-CN"/>
              </w:rPr>
              <w:t>；</w:t>
            </w:r>
            <w:r>
              <w:rPr>
                <w:rFonts w:hint="eastAsia"/>
                <w:highlight w:val="none"/>
                <w:lang w:val="en-US" w:eastAsia="zh-CN"/>
              </w:rPr>
              <w:t xml:space="preserve">                      </w:t>
            </w:r>
            <w:r>
              <w:rPr>
                <w:rFonts w:hint="eastAsia"/>
                <w:szCs w:val="21"/>
                <w:highlight w:val="none"/>
              </w:rPr>
              <w:t>无</w:t>
            </w:r>
            <w:r>
              <w:rPr>
                <w:highlight w:val="none"/>
              </w:rPr>
              <w:t>重大环境污染事故</w:t>
            </w:r>
            <w:r>
              <w:rPr>
                <w:rFonts w:hint="eastAsia"/>
                <w:szCs w:val="21"/>
                <w:highlight w:val="none"/>
              </w:rPr>
              <w:t>发生。</w:t>
            </w:r>
          </w:p>
          <w:p>
            <w:pPr>
              <w:numPr>
                <w:ilvl w:val="0"/>
                <w:numId w:val="0"/>
              </w:numPr>
              <w:jc w:val="left"/>
              <w:rPr>
                <w:rFonts w:ascii="宋体" w:hAnsi="宋体"/>
                <w:b/>
                <w:color w:val="000000" w:themeColor="text1"/>
              </w:rPr>
            </w:pPr>
            <w:r>
              <w:rPr>
                <w:rFonts w:hint="eastAsia" w:ascii="Times New Roman" w:hAnsi="Times New Roman" w:cs="Times New Roman"/>
                <w:highlight w:val="none"/>
                <w:lang w:val="en-US" w:eastAsia="zh-CN"/>
              </w:rPr>
              <w:t>4、</w:t>
            </w:r>
            <w:r>
              <w:rPr>
                <w:highlight w:val="none"/>
              </w:rPr>
              <w:t>员工工伤率≤3‰</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 xml:space="preserve">                                     </w:t>
            </w:r>
            <w:r>
              <w:rPr>
                <w:rFonts w:hint="eastAsia" w:cs="Times New Roman"/>
                <w:highlight w:val="none"/>
                <w:lang w:val="en-US" w:eastAsia="zh-CN"/>
              </w:rPr>
              <w:t>0</w:t>
            </w:r>
            <w:r>
              <w:rPr>
                <w:rFonts w:hint="eastAsia" w:ascii="Times New Roman" w:hAnsi="Times New Roman" w:cs="Times New Roman"/>
                <w:szCs w:val="21"/>
                <w:highlight w:val="none"/>
              </w:rPr>
              <w:t>。</w:t>
            </w:r>
            <w:r>
              <w:rPr>
                <w:rFonts w:hint="eastAsia" w:asciiTheme="minorEastAsia" w:hAnsiTheme="minorEastAsia" w:eastAsiaTheme="minorEastAsia" w:cstheme="minorEastAsia"/>
                <w:szCs w:val="21"/>
                <w:highlight w:val="none"/>
                <w:lang w:val="en-US" w:eastAsia="zh-CN"/>
              </w:rPr>
              <w:t xml:space="preserve">     </w:t>
            </w:r>
            <w:r>
              <w:rPr>
                <w:rFonts w:hint="eastAsia" w:asciiTheme="minorEastAsia" w:hAnsiTheme="minorEastAsia" w:eastAsiaTheme="minorEastAsia" w:cstheme="minorEastAsia"/>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1</w:t>
            </w:r>
            <w:r>
              <w:rPr>
                <w:rFonts w:hint="eastAsia" w:ascii="宋体" w:hAnsi="宋体" w:cs="宋体"/>
                <w:color w:val="000000" w:themeColor="text1"/>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
                <w:color w:val="000000" w:themeColor="text1"/>
                <w:sz w:val="20"/>
                <w:szCs w:val="20"/>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燃气设备零配件及防腐管件的销售</w:t>
            </w:r>
            <w:r>
              <w:rPr>
                <w:rFonts w:hint="eastAsia" w:ascii="宋体" w:hAnsi="宋体"/>
                <w:bCs/>
                <w:iCs/>
                <w:szCs w:val="22"/>
              </w:rPr>
              <w:t>运行环境，可以维持管理体系的正常运行。</w:t>
            </w: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400" w:lineRule="exact"/>
              <w:rPr>
                <w:rFonts w:ascii="宋体" w:hAnsi="宋体"/>
                <w:b/>
                <w:color w:val="000000" w:themeColor="text1"/>
                <w:sz w:val="20"/>
                <w:szCs w:val="20"/>
              </w:rPr>
            </w:pPr>
            <w:r>
              <w:rPr>
                <w:rFonts w:hint="eastAsia" w:ascii="宋体" w:hAnsi="宋体"/>
                <w:b/>
                <w:color w:val="000000" w:themeColor="text1"/>
                <w:sz w:val="20"/>
                <w:szCs w:val="20"/>
              </w:rPr>
              <w:t>设备设施（包</w:t>
            </w:r>
            <w:r>
              <w:rPr>
                <w:rFonts w:hint="eastAsia" w:ascii="宋体" w:hAnsi="宋体"/>
                <w:b/>
                <w:color w:val="000000" w:themeColor="text1"/>
                <w:sz w:val="20"/>
                <w:szCs w:val="20"/>
                <w:highlight w:val="none"/>
              </w:rPr>
              <w:t>括信息系统）、</w:t>
            </w:r>
            <w:r>
              <w:rPr>
                <w:rFonts w:hint="eastAsia" w:ascii="宋体" w:hAnsi="宋体" w:cs="宋体"/>
                <w:szCs w:val="21"/>
                <w:highlight w:val="none"/>
                <w:lang w:eastAsia="zh-CN"/>
              </w:rPr>
              <w:t>销售</w:t>
            </w:r>
            <w:r>
              <w:rPr>
                <w:rFonts w:hint="eastAsia" w:ascii="宋体" w:hAnsi="宋体" w:cs="宋体"/>
                <w:szCs w:val="21"/>
                <w:highlight w:val="none"/>
              </w:rPr>
              <w:t>办公场</w:t>
            </w:r>
            <w:r>
              <w:rPr>
                <w:rFonts w:hint="eastAsia" w:ascii="宋体" w:hAnsi="宋体"/>
                <w:szCs w:val="21"/>
                <w:highlight w:val="none"/>
              </w:rPr>
              <w:t>所面积</w:t>
            </w:r>
            <w:r>
              <w:rPr>
                <w:rFonts w:hint="eastAsia" w:ascii="宋体" w:hAnsi="宋体"/>
                <w:szCs w:val="21"/>
                <w:highlight w:val="none"/>
                <w:lang w:val="en-US" w:eastAsia="zh-CN"/>
              </w:rPr>
              <w:t>300</w:t>
            </w:r>
            <w:r>
              <w:rPr>
                <w:rFonts w:hint="eastAsia" w:ascii="宋体" w:hAnsi="宋体"/>
                <w:szCs w:val="21"/>
                <w:highlight w:val="none"/>
              </w:rPr>
              <w:t>平方左右</w:t>
            </w:r>
            <w:r>
              <w:rPr>
                <w:rFonts w:hint="eastAsia" w:ascii="宋体" w:hAnsi="宋体"/>
                <w:szCs w:val="21"/>
                <w:highlight w:val="none"/>
                <w:lang w:eastAsia="zh-CN"/>
              </w:rPr>
              <w:t>，含</w:t>
            </w:r>
            <w:r>
              <w:rPr>
                <w:rFonts w:hint="eastAsia" w:ascii="宋体" w:hAnsi="宋体"/>
                <w:color w:val="auto"/>
                <w:szCs w:val="21"/>
                <w:highlight w:val="none"/>
              </w:rPr>
              <w:t>库房</w:t>
            </w:r>
            <w:r>
              <w:rPr>
                <w:rFonts w:hint="eastAsia" w:ascii="宋体" w:hAnsi="宋体"/>
                <w:color w:val="auto"/>
                <w:szCs w:val="21"/>
                <w:highlight w:val="none"/>
                <w:lang w:eastAsia="zh-CN"/>
              </w:rPr>
              <w:t>（存放小件货物），</w:t>
            </w:r>
            <w:r>
              <w:rPr>
                <w:rFonts w:hint="eastAsia"/>
                <w:szCs w:val="21"/>
                <w:highlight w:val="none"/>
                <w:lang w:eastAsia="zh-CN"/>
              </w:rPr>
              <w:t>生产地设有</w:t>
            </w:r>
            <w:r>
              <w:rPr>
                <w:rFonts w:hint="eastAsia"/>
                <w:szCs w:val="21"/>
                <w:highlight w:val="none"/>
                <w:lang w:val="en-US" w:eastAsia="zh-CN"/>
              </w:rPr>
              <w:t>500平方米库房</w:t>
            </w:r>
            <w:r>
              <w:rPr>
                <w:rFonts w:hint="eastAsia" w:ascii="宋体" w:hAnsi="宋体"/>
                <w:color w:val="auto"/>
                <w:szCs w:val="21"/>
                <w:highlight w:val="none"/>
              </w:rPr>
              <w:t>。</w:t>
            </w:r>
            <w:r>
              <w:rPr>
                <w:rFonts w:hint="eastAsia" w:ascii="宋体" w:hAnsi="宋体" w:cs="宋体"/>
                <w:szCs w:val="21"/>
                <w:highlight w:val="none"/>
              </w:rPr>
              <w:t>主要生产设备包括电脑和办公设备</w:t>
            </w:r>
            <w:r>
              <w:rPr>
                <w:rFonts w:hint="eastAsia" w:ascii="宋体" w:hAnsi="宋体"/>
                <w:szCs w:val="21"/>
                <w:highlight w:val="none"/>
              </w:rPr>
              <w:t>，可以满足</w:t>
            </w:r>
            <w:r>
              <w:rPr>
                <w:rFonts w:hint="eastAsia" w:ascii="宋体" w:hAnsi="宋体"/>
                <w:szCs w:val="21"/>
              </w:rPr>
              <w:t>粮食仓储设备、粮食通风设备、户外照明用灯具及装置、仪器仪表、农用薄膜、建筑装饰材料（不含危险化学品）的销售</w:t>
            </w:r>
            <w:r>
              <w:rPr>
                <w:rFonts w:hint="eastAsia" w:ascii="宋体" w:hAnsi="宋体"/>
                <w:color w:val="auto"/>
                <w:szCs w:val="21"/>
                <w:highlight w:val="none"/>
              </w:rPr>
              <w:t>需要</w:t>
            </w:r>
            <w:r>
              <w:rPr>
                <w:rFonts w:hint="eastAsia" w:ascii="宋体" w:hAnsi="宋体" w:cs="宋体"/>
                <w:color w:val="auto"/>
                <w:szCs w:val="21"/>
                <w:highlight w:val="none"/>
              </w:rPr>
              <w:t>。</w:t>
            </w:r>
            <w:r>
              <w:rPr>
                <w:rFonts w:hint="eastAsia" w:ascii="宋体" w:hAnsi="宋体" w:cs="宋体"/>
                <w:szCs w:val="21"/>
                <w:highlight w:val="none"/>
              </w:rPr>
              <w:t>对设备按月方式进行点检维护保养，并实施。特种设备：无。公司未建立信息管理系统用于生产和服务。</w:t>
            </w:r>
          </w:p>
          <w:p>
            <w:pPr>
              <w:spacing w:line="24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办公场所内设备布置合理，通道畅通，照明设施齐全，均配备了消防设施等设施。办公室明亮</w:t>
            </w:r>
            <w:r>
              <w:rPr>
                <w:rFonts w:hint="eastAsia" w:ascii="宋体" w:hAnsi="宋体" w:cs="宋体"/>
                <w:szCs w:val="21"/>
                <w:lang w:eastAsia="zh-CN"/>
              </w:rPr>
              <w:t>，</w:t>
            </w:r>
            <w:r>
              <w:rPr>
                <w:rFonts w:hint="eastAsia" w:ascii="宋体" w:hAnsi="宋体" w:cs="宋体"/>
                <w:szCs w:val="21"/>
              </w:rPr>
              <w:t>光线较充足。每月由</w:t>
            </w:r>
            <w:r>
              <w:rPr>
                <w:rFonts w:hint="eastAsia" w:ascii="宋体" w:hAnsi="宋体" w:cs="宋体"/>
                <w:szCs w:val="21"/>
                <w:lang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0"/>
                <w:szCs w:val="20"/>
              </w:rPr>
            </w:pPr>
            <w:r>
              <w:rPr>
                <w:rFonts w:hint="eastAsia" w:ascii="宋体"/>
                <w:color w:val="000000"/>
                <w:sz w:val="20"/>
                <w:szCs w:val="20"/>
                <w:lang w:eastAsia="zh-CN"/>
              </w:rPr>
              <w:t>生产地</w:t>
            </w:r>
            <w:r>
              <w:rPr>
                <w:rFonts w:hint="eastAsia" w:ascii="宋体"/>
                <w:color w:val="000000"/>
                <w:sz w:val="20"/>
                <w:szCs w:val="20"/>
                <w:highlight w:val="none"/>
                <w:lang w:eastAsia="zh-CN"/>
              </w:rPr>
              <w:t>配置有：游标卡尺、钢卷尺等检测设备。销售的产品</w:t>
            </w:r>
            <w:r>
              <w:rPr>
                <w:rFonts w:hint="eastAsia" w:ascii="宋体"/>
                <w:color w:val="000000"/>
                <w:sz w:val="20"/>
                <w:szCs w:val="20"/>
                <w:highlight w:val="none"/>
              </w:rPr>
              <w:t>出具质检报告，</w:t>
            </w:r>
            <w:r>
              <w:rPr>
                <w:rFonts w:hint="eastAsia" w:ascii="宋体"/>
                <w:color w:val="000000"/>
                <w:sz w:val="20"/>
                <w:szCs w:val="20"/>
                <w:highlight w:val="none"/>
                <w:lang w:eastAsia="zh-CN"/>
              </w:rPr>
              <w:t>客户按约定要求进行</w:t>
            </w:r>
            <w:r>
              <w:rPr>
                <w:rFonts w:hint="eastAsia" w:ascii="宋体"/>
                <w:color w:val="000000"/>
                <w:sz w:val="20"/>
                <w:szCs w:val="20"/>
                <w:highlight w:val="none"/>
              </w:rPr>
              <w:t>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重要环境因素为固废排放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组织建立了危险源识别、评价控制程序，识别评价了危险源、风险相关的过程，评价出了重要危险源（火灾、触电</w:t>
            </w:r>
            <w:r>
              <w:rPr>
                <w:rFonts w:hint="eastAsia" w:asciiTheme="minorEastAsia" w:hAnsiTheme="minorEastAsia" w:eastAsiaTheme="minorEastAsia"/>
                <w:bCs/>
                <w:iCs/>
                <w:lang w:eastAsia="zh-CN"/>
              </w:rPr>
              <w:t>、车辆伤害、物体打击</w:t>
            </w:r>
            <w:r>
              <w:rPr>
                <w:rFonts w:hint="eastAsia" w:asciiTheme="minorEastAsia" w:hAnsiTheme="minorEastAsia" w:eastAsiaTheme="minorEastAsia"/>
                <w:bCs/>
                <w:iCs/>
              </w:rPr>
              <w:t>等），与之相关的过程有客户需求分析、合同签订、销售过程，针对不可接受风险制定了管理方案。控制措施实施有效。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lang w:eastAsia="zh-CN"/>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w:t>
            </w:r>
            <w:r>
              <w:rPr>
                <w:rFonts w:hint="eastAsia" w:asciiTheme="minorEastAsia" w:hAnsiTheme="minorEastAsia" w:eastAsiaTheme="minorEastAsia"/>
                <w:bCs/>
                <w:iCs/>
                <w:color w:val="auto"/>
              </w:rPr>
              <w:t>，</w:t>
            </w:r>
            <w:r>
              <w:rPr>
                <w:rFonts w:hint="eastAsia" w:asciiTheme="minorEastAsia" w:hAnsiTheme="minorEastAsia" w:eastAsiaTheme="minorEastAsia"/>
                <w:bCs/>
                <w:iCs/>
                <w:color w:val="auto"/>
                <w:lang w:eastAsia="zh-CN"/>
              </w:rPr>
              <w:t>并</w:t>
            </w:r>
            <w:r>
              <w:rPr>
                <w:rFonts w:hint="eastAsia" w:asciiTheme="minorEastAsia" w:hAnsiTheme="minorEastAsia" w:eastAsiaTheme="minorEastAsia"/>
                <w:bCs/>
                <w:iCs/>
                <w:color w:val="auto"/>
              </w:rPr>
              <w:t>对应急预案进行了评价。</w:t>
            </w:r>
            <w:r>
              <w:rPr>
                <w:rFonts w:hint="eastAsia" w:asciiTheme="minorEastAsia" w:hAnsiTheme="minorEastAsia" w:eastAsiaTheme="minorEastAsia"/>
                <w:bCs/>
                <w:iCs/>
                <w:color w:val="auto"/>
                <w:lang w:eastAsia="zh-CN"/>
              </w:rPr>
              <w:t>应急设备灭火器的数量配备</w:t>
            </w:r>
            <w:bookmarkStart w:id="23" w:name="_GoBack"/>
            <w:bookmarkEnd w:id="23"/>
            <w:r>
              <w:rPr>
                <w:rFonts w:hint="eastAsia" w:asciiTheme="minorEastAsia" w:hAnsiTheme="minorEastAsia" w:eastAsiaTheme="minorEastAsia"/>
                <w:bCs/>
                <w:iCs/>
                <w:color w:val="auto"/>
                <w:lang w:eastAsia="zh-CN"/>
              </w:rPr>
              <w:t>不足，管理不当，需改善。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w:t>
            </w:r>
            <w:r>
              <w:rPr>
                <w:rFonts w:hint="eastAsia" w:ascii="宋体" w:hAnsi="宋体" w:cs="宋体"/>
                <w:szCs w:val="21"/>
              </w:rPr>
              <w:t>过20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月-2020年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建立有《内部审核控制程序》，规定了内审频次一年一次，内审时间：2020年</w:t>
            </w:r>
            <w:r>
              <w:rPr>
                <w:rFonts w:hint="eastAsia" w:ascii="宋体" w:hAnsi="宋体"/>
                <w:szCs w:val="21"/>
                <w:lang w:val="en-US" w:eastAsia="zh-CN"/>
              </w:rPr>
              <w:t>5</w:t>
            </w:r>
            <w:r>
              <w:rPr>
                <w:rFonts w:hint="eastAsia" w:ascii="宋体" w:hAnsi="宋体"/>
                <w:szCs w:val="21"/>
              </w:rPr>
              <w:t>月1</w:t>
            </w:r>
            <w:r>
              <w:rPr>
                <w:rFonts w:hint="eastAsia" w:ascii="宋体" w:hAnsi="宋体"/>
                <w:szCs w:val="21"/>
                <w:lang w:val="en-US" w:eastAsia="zh-CN"/>
              </w:rPr>
              <w:t>2</w:t>
            </w:r>
            <w:r>
              <w:rPr>
                <w:rFonts w:hint="eastAsia" w:ascii="宋体" w:hAnsi="宋体"/>
                <w:szCs w:val="21"/>
              </w:rPr>
              <w:t>日-1</w:t>
            </w:r>
            <w:r>
              <w:rPr>
                <w:rFonts w:hint="eastAsia" w:ascii="宋体" w:hAnsi="宋体"/>
                <w:szCs w:val="21"/>
                <w:lang w:val="en-US" w:eastAsia="zh-CN"/>
              </w:rPr>
              <w:t>3</w:t>
            </w:r>
            <w:r>
              <w:rPr>
                <w:rFonts w:hint="eastAsia" w:ascii="宋体" w:hAnsi="宋体"/>
                <w:szCs w:val="21"/>
              </w:rPr>
              <w:t>日，拟定了审核实施表，明确了内审范围，内审人员经培训合格上岗，能力满足要求，未出现审核本部门情况，内审不符合项</w:t>
            </w:r>
            <w:r>
              <w:rPr>
                <w:rFonts w:hint="eastAsia" w:ascii="宋体" w:hAnsi="宋体"/>
                <w:szCs w:val="21"/>
                <w:lang w:val="en-US" w:eastAsia="zh-CN"/>
              </w:rPr>
              <w:t>2</w:t>
            </w:r>
            <w:r>
              <w:rPr>
                <w:rFonts w:hint="eastAsia" w:ascii="宋体" w:hAnsi="宋体"/>
                <w:szCs w:val="21"/>
              </w:rPr>
              <w:t>项，</w:t>
            </w:r>
            <w:r>
              <w:rPr>
                <w:rFonts w:hint="eastAsia" w:ascii="宋体" w:hAnsi="宋体" w:cs="宋体"/>
                <w:szCs w:val="21"/>
                <w:highlight w:val="none"/>
              </w:rPr>
              <w:t>涉及</w:t>
            </w:r>
            <w:r>
              <w:rPr>
                <w:rFonts w:hint="eastAsia" w:ascii="宋体" w:hAnsi="宋体" w:cs="宋体"/>
                <w:szCs w:val="21"/>
                <w:highlight w:val="none"/>
                <w:lang w:eastAsia="zh-CN"/>
              </w:rPr>
              <w:t>行政</w:t>
            </w:r>
            <w:r>
              <w:rPr>
                <w:rFonts w:hint="eastAsia" w:ascii="宋体" w:hAnsi="宋体" w:cs="宋体"/>
                <w:szCs w:val="21"/>
                <w:highlight w:val="none"/>
              </w:rPr>
              <w:t>部</w:t>
            </w:r>
            <w:r>
              <w:rPr>
                <w:rFonts w:hint="eastAsia" w:ascii="宋体" w:hAnsi="宋体" w:cs="宋体"/>
                <w:szCs w:val="21"/>
                <w:highlight w:val="none"/>
                <w:lang w:val="en-US" w:eastAsia="zh-CN"/>
              </w:rPr>
              <w:t>Q/</w:t>
            </w:r>
            <w:r>
              <w:rPr>
                <w:rFonts w:hint="eastAsia" w:ascii="宋体" w:hAnsi="宋体" w:cs="宋体"/>
                <w:szCs w:val="21"/>
                <w:highlight w:val="none"/>
              </w:rPr>
              <w:t>E</w:t>
            </w:r>
            <w:r>
              <w:rPr>
                <w:rFonts w:hint="eastAsia" w:ascii="宋体" w:hAnsi="宋体" w:cs="宋体"/>
                <w:szCs w:val="21"/>
                <w:highlight w:val="none"/>
                <w:lang w:val="en-US" w:eastAsia="zh-CN"/>
              </w:rPr>
              <w:t>/</w:t>
            </w:r>
            <w:r>
              <w:rPr>
                <w:rFonts w:hint="eastAsia" w:ascii="宋体" w:hAnsi="宋体" w:cs="宋体"/>
                <w:szCs w:val="21"/>
                <w:highlight w:val="none"/>
              </w:rPr>
              <w:t>S</w:t>
            </w:r>
            <w:r>
              <w:rPr>
                <w:highlight w:val="none"/>
              </w:rPr>
              <w:t>7.</w:t>
            </w:r>
            <w:r>
              <w:rPr>
                <w:rFonts w:hint="eastAsia"/>
                <w:highlight w:val="none"/>
                <w:lang w:val="en-US" w:eastAsia="zh-CN"/>
              </w:rPr>
              <w:t>2、</w:t>
            </w:r>
            <w:r>
              <w:rPr>
                <w:highlight w:val="none"/>
              </w:rPr>
              <w:t>9.1.2</w:t>
            </w:r>
            <w:r>
              <w:rPr>
                <w:rFonts w:hint="eastAsia" w:ascii="宋体" w:hAnsi="宋体" w:cs="宋体"/>
                <w:szCs w:val="21"/>
                <w:highlight w:val="none"/>
              </w:rPr>
              <w:t>条款</w:t>
            </w:r>
            <w:r>
              <w:rPr>
                <w:highlight w:val="none"/>
              </w:rPr>
              <w:t>不能提供对本行业相关质量、环境、职业健康安全法律</w:t>
            </w:r>
            <w:r>
              <w:rPr>
                <w:rFonts w:ascii="Times New Roman" w:hAnsi="Times New Roman" w:eastAsia="宋体" w:cs="Times New Roman"/>
                <w:szCs w:val="22"/>
                <w:highlight w:val="none"/>
              </w:rPr>
              <w:t>法规、合规义务、合规性评价进行培训的证据</w:t>
            </w:r>
            <w:r>
              <w:rPr>
                <w:rFonts w:hint="eastAsia" w:ascii="Times New Roman" w:hAnsi="Times New Roman" w:eastAsia="宋体" w:cs="Times New Roman"/>
                <w:szCs w:val="22"/>
                <w:highlight w:val="none"/>
                <w:lang w:eastAsia="zh-CN"/>
              </w:rPr>
              <w:t>和</w:t>
            </w:r>
            <w:r>
              <w:rPr>
                <w:rFonts w:hint="eastAsia" w:cs="Times New Roman"/>
                <w:szCs w:val="22"/>
                <w:highlight w:val="none"/>
                <w:lang w:eastAsia="zh-CN"/>
              </w:rPr>
              <w:t>行政</w:t>
            </w:r>
            <w:r>
              <w:rPr>
                <w:rFonts w:hint="eastAsia" w:ascii="Times New Roman" w:hAnsi="Times New Roman" w:eastAsia="宋体" w:cs="Times New Roman"/>
                <w:szCs w:val="22"/>
                <w:highlight w:val="none"/>
                <w:lang w:eastAsia="zh-CN"/>
              </w:rPr>
              <w:t>部</w:t>
            </w:r>
            <w:r>
              <w:rPr>
                <w:rFonts w:hint="eastAsia" w:ascii="Times New Roman" w:hAnsi="Times New Roman" w:eastAsia="宋体" w:cs="Times New Roman"/>
                <w:szCs w:val="22"/>
                <w:highlight w:val="none"/>
                <w:lang w:val="en-US" w:eastAsia="zh-CN"/>
              </w:rPr>
              <w:t>Q</w:t>
            </w:r>
            <w:r>
              <w:rPr>
                <w:rFonts w:hint="eastAsia" w:cs="Times New Roman"/>
                <w:szCs w:val="22"/>
                <w:highlight w:val="none"/>
                <w:lang w:val="en-US" w:eastAsia="zh-CN"/>
              </w:rPr>
              <w:t>7.5.2</w:t>
            </w:r>
            <w:r>
              <w:rPr>
                <w:rFonts w:hint="eastAsia" w:ascii="Times New Roman" w:hAnsi="Times New Roman" w:eastAsia="宋体" w:cs="Times New Roman"/>
                <w:szCs w:val="22"/>
                <w:highlight w:val="none"/>
                <w:lang w:val="en-US" w:eastAsia="zh-CN"/>
              </w:rPr>
              <w:t>条款</w:t>
            </w:r>
            <w:r>
              <w:rPr>
                <w:rFonts w:hint="eastAsia" w:ascii="宋体" w:hAnsi="宋体" w:eastAsia="宋体" w:cs="宋体"/>
                <w:color w:val="000000"/>
                <w:kern w:val="0"/>
                <w:sz w:val="21"/>
                <w:szCs w:val="21"/>
                <w:lang w:val="en-US" w:eastAsia="zh-CN" w:bidi="ar"/>
              </w:rPr>
              <w:t>现场所提供的《进货验证规程》没有编制、审批的证据</w:t>
            </w:r>
            <w:r>
              <w:rPr>
                <w:rFonts w:hint="eastAsia" w:ascii="Times New Roman" w:hAnsi="Times New Roman" w:eastAsia="宋体" w:cs="Times New Roman"/>
                <w:szCs w:val="22"/>
                <w:highlight w:val="none"/>
                <w:lang w:val="en-US" w:eastAsia="zh-CN"/>
              </w:rPr>
              <w:t>。</w:t>
            </w: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w:t>
            </w:r>
            <w:r>
              <w:rPr>
                <w:rFonts w:hint="eastAsia" w:ascii="宋体" w:hAnsi="宋体" w:cs="宋体"/>
                <w:color w:val="auto"/>
                <w:szCs w:val="21"/>
              </w:rPr>
              <w:t>于</w:t>
            </w:r>
            <w:r>
              <w:rPr>
                <w:rFonts w:hint="eastAsia" w:ascii="宋体" w:hAnsi="宋体"/>
                <w:color w:val="auto"/>
                <w:szCs w:val="21"/>
              </w:rPr>
              <w:t>2020年</w:t>
            </w:r>
            <w:r>
              <w:rPr>
                <w:rFonts w:hint="eastAsia" w:ascii="宋体" w:hAnsi="宋体"/>
                <w:color w:val="auto"/>
                <w:szCs w:val="21"/>
                <w:lang w:val="en-US" w:eastAsia="zh-CN"/>
              </w:rPr>
              <w:t>5</w:t>
            </w:r>
            <w:r>
              <w:rPr>
                <w:rFonts w:hint="eastAsia" w:ascii="宋体" w:hAnsi="宋体"/>
                <w:color w:val="auto"/>
                <w:szCs w:val="21"/>
              </w:rPr>
              <w:t>月</w:t>
            </w:r>
            <w:r>
              <w:rPr>
                <w:rFonts w:hint="eastAsia" w:ascii="宋体" w:hAnsi="宋体"/>
                <w:color w:val="auto"/>
                <w:szCs w:val="21"/>
                <w:lang w:val="en-US" w:eastAsia="zh-CN"/>
              </w:rPr>
              <w:t>25</w:t>
            </w:r>
            <w:r>
              <w:rPr>
                <w:rFonts w:hint="eastAsia" w:ascii="宋体" w:hAnsi="宋体"/>
                <w:color w:val="auto"/>
                <w:szCs w:val="21"/>
              </w:rPr>
              <w:t>日</w:t>
            </w:r>
            <w:r>
              <w:rPr>
                <w:rFonts w:hint="eastAsia" w:ascii="宋体" w:hAnsi="宋体" w:cs="宋体"/>
                <w:color w:val="auto"/>
                <w:szCs w:val="21"/>
              </w:rPr>
              <w:t>由总经理主持</w:t>
            </w:r>
            <w:r>
              <w:rPr>
                <w:rFonts w:hint="eastAsia" w:ascii="宋体" w:hAnsi="宋体" w:cs="宋体"/>
                <w:szCs w:val="21"/>
              </w:rPr>
              <w:t>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color w:val="FF0000"/>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highlight w:val="none"/>
        </w:rPr>
      </w:pPr>
      <w:r>
        <w:rPr>
          <w:rFonts w:hint="eastAsia"/>
          <w:b/>
          <w:highlight w:val="none"/>
        </w:rPr>
        <w:t>1. 本次审核共开具不符合项报告1项；其中</w:t>
      </w:r>
      <w:r>
        <w:rPr>
          <w:b/>
          <w:highlight w:val="none"/>
        </w:rPr>
        <w:pict>
          <v:line id="直接连接符 1" o:spid="_x0000_s2053" o:spt="20" style="position:absolute;left:0pt;margin-left:210pt;margin-top:16.2pt;height:0pt;width:0pt;z-index:251672576;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严重不符合0项，一般不符合 1项，观察项0项，分布在部门</w:t>
      </w:r>
      <w:r>
        <w:rPr>
          <w:rFonts w:hint="eastAsia"/>
          <w:b/>
          <w:highlight w:val="none"/>
          <w:lang w:eastAsia="zh-CN"/>
        </w:rPr>
        <w:t>行政部</w:t>
      </w:r>
      <w:r>
        <w:rPr>
          <w:rFonts w:hint="eastAsia"/>
          <w:b/>
          <w:highlight w:val="none"/>
        </w:rPr>
        <w:t>E/S</w:t>
      </w:r>
      <w:r>
        <w:rPr>
          <w:rFonts w:hint="eastAsia"/>
          <w:b/>
          <w:highlight w:val="none"/>
          <w:lang w:val="en-US" w:eastAsia="zh-CN"/>
        </w:rPr>
        <w:t>8.2</w:t>
      </w:r>
      <w:r>
        <w:rPr>
          <w:rFonts w:hint="eastAsia"/>
          <w:b/>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ascii="宋体" w:hAnsi="宋体"/>
          <w:b/>
          <w:color w:val="000000" w:themeColor="text1"/>
          <w:szCs w:val="21"/>
        </w:rPr>
      </w:pPr>
      <w:r>
        <w:rPr>
          <w:rFonts w:hint="eastAsia"/>
          <w:b/>
          <w:color w:val="000000" w:themeColor="text1"/>
        </w:rPr>
        <w:t>■</w:t>
      </w: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b/>
          <w:color w:val="000000" w:themeColor="text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1"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rPr>
                <w:rFonts w:hint="eastAsia" w:ascii="Times New Roman" w:hAnsi="Times New Roman" w:eastAsia="宋体" w:cs="Times New Roman"/>
                <w:b/>
                <w:color w:val="000000" w:themeColor="text1"/>
                <w:u w:val="single"/>
              </w:rPr>
            </w:pPr>
            <w:r>
              <w:rPr>
                <w:rFonts w:hint="eastAsia" w:ascii="Times New Roman" w:hAnsi="Times New Roman" w:eastAsia="宋体" w:cs="Times New Roman"/>
                <w:b/>
                <w:color w:val="000000" w:themeColor="text1"/>
              </w:rPr>
              <w:t xml:space="preserve">EMS: </w:t>
            </w:r>
            <w:r>
              <w:rPr>
                <w:rFonts w:hint="eastAsia" w:ascii="Times New Roman" w:hAnsi="Times New Roman" w:eastAsia="宋体" w:cs="Times New Roman"/>
                <w:b/>
                <w:color w:val="000000" w:themeColor="text1"/>
                <w:u w:val="single"/>
              </w:rPr>
              <w:t>粮食仓储设备、粮食通风设备、户外照明用灯具及装置、仪器仪表、农用薄膜、建筑装饰材料（不含危险化学品）的销售及相关环境管理活动。</w:t>
            </w:r>
          </w:p>
          <w:p>
            <w:pPr>
              <w:rPr>
                <w:rFonts w:hint="eastAsia" w:ascii="Times New Roman" w:hAnsi="Times New Roman" w:eastAsia="宋体" w:cs="Times New Roman"/>
                <w:b/>
                <w:color w:val="000000" w:themeColor="text1"/>
                <w:u w:val="single"/>
              </w:rPr>
            </w:pPr>
            <w:r>
              <w:rPr>
                <w:rFonts w:hint="eastAsia" w:ascii="Times New Roman" w:hAnsi="Times New Roman" w:eastAsia="宋体" w:cs="Times New Roman"/>
                <w:b/>
                <w:color w:val="000000" w:themeColor="text1"/>
              </w:rPr>
              <w:t xml:space="preserve">OHSMS: </w:t>
            </w:r>
            <w:r>
              <w:rPr>
                <w:rFonts w:hint="eastAsia" w:ascii="Times New Roman" w:hAnsi="Times New Roman" w:eastAsia="宋体" w:cs="Times New Roman"/>
                <w:b/>
                <w:color w:val="000000" w:themeColor="text1"/>
                <w:u w:val="single"/>
              </w:rPr>
              <w:t>粮食仓储设备、粮食通风设备、户外照明用灯具及装置、仪器仪表、农用薄膜、建筑装饰材料（不含危险化学品）的销售及相关职业健康安全管理活动 。</w:t>
            </w:r>
          </w:p>
          <w:p>
            <w:pPr>
              <w:spacing w:line="32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一般不符合报告在30天/严重不符合在天针对不符合原因制定并实施纠正措施。验证方式见不符合项报告。</w:t>
      </w:r>
    </w:p>
    <w:p>
      <w:pPr>
        <w:spacing w:beforeLines="50" w:afterLines="50"/>
        <w:ind w:left="1" w:leftChars="-405" w:hanging="851" w:hangingChars="326"/>
        <w:rPr>
          <w:rFonts w:hint="eastAsia" w:eastAsia="宋体"/>
          <w:color w:val="000000" w:themeColor="text1"/>
          <w:sz w:val="28"/>
          <w:szCs w:val="28"/>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921" w:firstLineChars="1860"/>
        <w:rPr>
          <w:b/>
          <w:color w:val="000000" w:themeColor="text1"/>
          <w:sz w:val="16"/>
          <w:szCs w:val="16"/>
        </w:rPr>
      </w:pPr>
      <w:r>
        <w:rPr>
          <w:rFonts w:hint="eastAsia"/>
          <w:b/>
          <w:color w:val="000000" w:themeColor="text1"/>
        </w:rPr>
        <w:t xml:space="preserve">日期：2020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21</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lang w:eastAsia="zh-CN"/>
        </w:rPr>
        <w:t>□</w:t>
      </w:r>
      <w:r>
        <w:rPr>
          <w:rFonts w:hint="eastAsia"/>
          <w:b/>
          <w:color w:val="000000" w:themeColor="text1"/>
          <w:szCs w:val="21"/>
          <w:highlight w:val="none"/>
        </w:rPr>
        <w:t>EMS</w:t>
      </w:r>
      <w:r>
        <w:rPr>
          <w:rFonts w:hint="eastAsia"/>
          <w:b/>
          <w:color w:val="000000" w:themeColor="text1"/>
          <w:szCs w:val="21"/>
        </w:rPr>
        <w:t>(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lang w:eastAsia="zh-CN"/>
        </w:rPr>
        <w:t>□</w:t>
      </w:r>
      <w:r>
        <w:rPr>
          <w:rFonts w:hint="eastAsia"/>
          <w:b/>
          <w:color w:val="000000" w:themeColor="text1"/>
          <w:szCs w:val="21"/>
          <w:highlight w:val="none"/>
        </w:rPr>
        <w:t>OHSMS</w:t>
      </w:r>
      <w:r>
        <w:rPr>
          <w:rFonts w:hint="eastAsia"/>
          <w:b/>
          <w:color w:val="000000" w:themeColor="text1"/>
          <w:szCs w:val="21"/>
        </w:rPr>
        <w:t>(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Lines="50"/>
        <w:ind w:firstLine="422" w:firstLineChars="200"/>
        <w:rPr>
          <w:b/>
          <w:color w:val="000000" w:themeColor="text1"/>
          <w:szCs w:val="21"/>
          <w:highlight w:val="none"/>
        </w:rPr>
      </w:pPr>
    </w:p>
    <w:p>
      <w:pPr>
        <w:spacing w:afterLines="50"/>
        <w:ind w:leftChars="-202" w:hanging="424" w:hangingChars="201"/>
        <w:rPr>
          <w:rFonts w:ascii="宋体" w:hAnsi="宋体"/>
          <w:b/>
          <w:color w:val="000000" w:themeColor="text1"/>
          <w:szCs w:val="21"/>
          <w:highlight w:val="none"/>
        </w:rPr>
      </w:pPr>
      <w:r>
        <w:rPr>
          <w:rFonts w:hint="eastAsia"/>
          <w:b/>
          <w:color w:val="000000" w:themeColor="text1"/>
          <w:szCs w:val="21"/>
          <w:highlight w:val="none"/>
        </w:rPr>
        <w:t>2. 验证结论</w:t>
      </w:r>
      <w:r>
        <w:rPr>
          <w:rFonts w:hint="eastAsia" w:ascii="宋体" w:hAnsi="宋体"/>
          <w:b/>
          <w:color w:val="000000" w:themeColor="text1"/>
          <w:szCs w:val="21"/>
          <w:highlight w:val="none"/>
        </w:rPr>
        <w:t>:</w:t>
      </w:r>
    </w:p>
    <w:p>
      <w:pPr>
        <w:ind w:firstLine="763" w:firstLineChars="400"/>
        <w:rPr>
          <w:b/>
          <w:color w:val="000000" w:themeColor="text1"/>
          <w:szCs w:val="21"/>
          <w:highlight w:val="none"/>
        </w:rPr>
      </w:pPr>
      <w:r>
        <w:rPr>
          <w:rFonts w:hint="eastAsia"/>
          <w:b/>
          <w:color w:val="000000" w:themeColor="text1"/>
          <w:spacing w:val="-10"/>
          <w:szCs w:val="21"/>
          <w:highlight w:val="none"/>
          <w:lang w:eastAsia="zh-CN"/>
        </w:rPr>
        <w:t>□</w:t>
      </w:r>
      <w:r>
        <w:rPr>
          <w:rFonts w:hint="eastAsia"/>
          <w:b/>
          <w:color w:val="000000" w:themeColor="text1"/>
          <w:szCs w:val="21"/>
          <w:highlight w:val="none"/>
        </w:rPr>
        <w:t>推荐注册□不推荐注册</w:t>
      </w:r>
      <w:r>
        <w:rPr>
          <w:rFonts w:hint="eastAsia"/>
          <w:b/>
          <w:color w:val="000000" w:themeColor="text1"/>
          <w:spacing w:val="-10"/>
          <w:szCs w:val="21"/>
          <w:highlight w:val="none"/>
        </w:rPr>
        <w:t>□推荐重新认证</w:t>
      </w:r>
      <w:r>
        <w:rPr>
          <w:rFonts w:hint="eastAsia"/>
          <w:b/>
          <w:color w:val="000000" w:themeColor="text1"/>
          <w:szCs w:val="21"/>
          <w:highlight w:val="none"/>
        </w:rPr>
        <w:t>注册（再认证填写）</w:t>
      </w:r>
    </w:p>
    <w:p>
      <w:pPr>
        <w:spacing w:beforeLines="100" w:afterLines="50"/>
        <w:rPr>
          <w:b/>
          <w:color w:val="000000" w:themeColor="text1"/>
          <w:szCs w:val="21"/>
          <w:highlight w:val="none"/>
        </w:rPr>
      </w:pPr>
      <w:r>
        <w:rPr>
          <w:rFonts w:hint="eastAsia"/>
          <w:b/>
          <w:color w:val="000000" w:themeColor="text1"/>
          <w:szCs w:val="21"/>
          <w:highlight w:val="none"/>
        </w:rPr>
        <w:t xml:space="preserve">组长签字:                  日期:  </w:t>
      </w:r>
      <w:r>
        <w:rPr>
          <w:rFonts w:hint="eastAsia"/>
          <w:b/>
          <w:color w:val="000000" w:themeColor="text1"/>
          <w:szCs w:val="21"/>
          <w:highlight w:val="none"/>
          <w:lang w:val="en-US" w:eastAsia="zh-CN"/>
        </w:rPr>
        <w:t xml:space="preserve">     </w:t>
      </w:r>
      <w:r>
        <w:rPr>
          <w:rFonts w:hint="eastAsia"/>
          <w:b/>
          <w:color w:val="000000" w:themeColor="text1"/>
          <w:szCs w:val="21"/>
          <w:highlight w:val="none"/>
        </w:rPr>
        <w:t>年</w:t>
      </w:r>
      <w:r>
        <w:rPr>
          <w:rFonts w:hint="eastAsia"/>
          <w:b/>
          <w:color w:val="000000" w:themeColor="text1"/>
          <w:szCs w:val="21"/>
          <w:highlight w:val="none"/>
          <w:lang w:val="en-US" w:eastAsia="zh-CN"/>
        </w:rPr>
        <w:t xml:space="preserve">   </w:t>
      </w:r>
      <w:r>
        <w:rPr>
          <w:rFonts w:hint="eastAsia"/>
          <w:b/>
          <w:color w:val="000000" w:themeColor="text1"/>
          <w:szCs w:val="21"/>
          <w:highlight w:val="none"/>
        </w:rPr>
        <w:t>月</w:t>
      </w:r>
      <w:r>
        <w:rPr>
          <w:rFonts w:hint="eastAsia"/>
          <w:b/>
          <w:color w:val="000000" w:themeColor="text1"/>
          <w:szCs w:val="21"/>
          <w:highlight w:val="none"/>
          <w:lang w:val="en-US" w:eastAsia="zh-CN"/>
        </w:rPr>
        <w:t xml:space="preserve">   </w:t>
      </w:r>
      <w:r>
        <w:rPr>
          <w:rFonts w:hint="eastAsia"/>
          <w:b/>
          <w:color w:val="000000" w:themeColor="text1"/>
          <w:szCs w:val="21"/>
          <w:highlight w:val="none"/>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       年   月   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      年   月   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1D1200"/>
    <w:rsid w:val="092B6BBA"/>
    <w:rsid w:val="117B0CB0"/>
    <w:rsid w:val="46A476A5"/>
    <w:rsid w:val="66236D58"/>
    <w:rsid w:val="770B1E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2020-06-21T06:23:08Z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