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康盛监理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66-2024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5日 上午至2024年10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4 9:00:00上午至2024-10-14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康盛监理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