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四川苏克流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体</w:t>
            </w:r>
            <w:r>
              <w:rPr>
                <w:rFonts w:ascii="宋体" w:hAnsi="宋体"/>
                <w:szCs w:val="21"/>
              </w:rPr>
              <w:t>控制设备有限公司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2020年6月13日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四川苏克流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体</w:t>
            </w:r>
            <w:r>
              <w:rPr>
                <w:rFonts w:ascii="宋体" w:hAnsi="宋体"/>
                <w:szCs w:val="21"/>
              </w:rPr>
              <w:t>控制设备有限公司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2020年6月14日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105933"/>
    <w:rsid w:val="49D13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胡琳</cp:lastModifiedBy>
  <dcterms:modified xsi:type="dcterms:W3CDTF">2020-06-14T06:49:57Z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