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0265-2020-Q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四川力源水电设备制造有限公司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18.05.07,18.08.00</w:t>
            </w:r>
          </w:p>
          <w:p>
            <w:pPr>
              <w:spacing w:line="240" w:lineRule="exact"/>
              <w:jc w:val="center"/>
              <w:rPr>
                <w:b/>
                <w:color w:val="000000"/>
                <w:sz w:val="20"/>
                <w:szCs w:val="20"/>
              </w:rPr>
            </w:pPr>
            <w:r>
              <w:rPr>
                <w:b/>
                <w:color w:val="000000"/>
                <w:sz w:val="20"/>
                <w:szCs w:val="20"/>
              </w:rPr>
              <w:t>19.09.01,19.16.00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杨庆</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四川力源水电设备制造有限公司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峨眉山市新平工业园区内</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614000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峨眉山市新平工业园区内</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614000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张传文</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13734924777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0833-2663318</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张传文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张传文</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1947035817@qq.com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2019年08月01日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水轮机及辅机、发电机及发电机组、水利专用机械制造及维修。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18.05.07;18.08.00;19.09.01;19.16.00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营销部、生产技术部、办公室</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水轮机及辅机、发电机及发电机组、水利专用机械制造及维修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办公室、生产技术部、营销部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峨眉山市新平工业园区内</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峨眉山市新平工业园区内</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widowControl/>
              <w:spacing w:line="400" w:lineRule="exact"/>
              <w:rPr>
                <w:rFonts w:hint="eastAsia" w:ascii="宋体" w:hAnsi="宋体"/>
                <w:sz w:val="21"/>
                <w:szCs w:val="21"/>
                <w:highlight w:val="none"/>
              </w:rPr>
            </w:pPr>
            <w:r>
              <w:rPr>
                <w:rFonts w:hint="eastAsia" w:ascii="宋体" w:hAnsi="宋体"/>
                <w:sz w:val="21"/>
                <w:szCs w:val="21"/>
                <w:highlight w:val="none"/>
              </w:rPr>
              <w:t>水轮机及辅机流程：</w:t>
            </w:r>
          </w:p>
          <w:p>
            <w:pPr>
              <w:widowControl/>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下料</w:t>
            </w:r>
            <w:r>
              <w:rPr>
                <w:rFonts w:hint="eastAsia" w:ascii="宋体" w:hAnsi="宋体"/>
                <w:sz w:val="21"/>
                <w:szCs w:val="21"/>
                <w:highlight w:val="none"/>
              </w:rPr>
              <w:t>--焊接--精车--</w:t>
            </w:r>
            <w:r>
              <w:rPr>
                <w:rFonts w:hint="eastAsia" w:ascii="宋体" w:hAnsi="宋体"/>
                <w:sz w:val="21"/>
                <w:szCs w:val="21"/>
                <w:highlight w:val="none"/>
                <w:lang w:val="en-US" w:eastAsia="zh-CN"/>
              </w:rPr>
              <w:t>检验</w:t>
            </w:r>
            <w:r>
              <w:rPr>
                <w:rFonts w:hint="eastAsia" w:ascii="宋体" w:hAnsi="宋体"/>
                <w:sz w:val="21"/>
                <w:szCs w:val="21"/>
                <w:highlight w:val="none"/>
              </w:rPr>
              <w:t>--钻孔攻丝--打磨--装配--检验</w:t>
            </w:r>
            <w:r>
              <w:rPr>
                <w:rFonts w:hint="eastAsia" w:ascii="宋体" w:hAnsi="宋体"/>
                <w:sz w:val="21"/>
                <w:szCs w:val="21"/>
                <w:highlight w:val="none"/>
                <w:lang w:val="en-US" w:eastAsia="zh-CN"/>
              </w:rPr>
              <w:t>调</w:t>
            </w:r>
            <w:r>
              <w:rPr>
                <w:rFonts w:hint="eastAsia" w:ascii="宋体" w:hAnsi="宋体"/>
                <w:sz w:val="21"/>
                <w:szCs w:val="21"/>
                <w:highlight w:val="none"/>
              </w:rPr>
              <w:t>试--</w:t>
            </w:r>
            <w:r>
              <w:rPr>
                <w:rFonts w:hint="eastAsia" w:ascii="宋体" w:hAnsi="宋体"/>
                <w:sz w:val="21"/>
                <w:szCs w:val="21"/>
                <w:highlight w:val="none"/>
                <w:lang w:val="en-US" w:eastAsia="zh-CN"/>
              </w:rPr>
              <w:t>入库</w:t>
            </w:r>
          </w:p>
          <w:p>
            <w:pPr>
              <w:widowControl/>
              <w:spacing w:line="400" w:lineRule="exact"/>
              <w:rPr>
                <w:rFonts w:hint="eastAsia" w:ascii="宋体" w:hAnsi="宋体"/>
                <w:sz w:val="21"/>
                <w:szCs w:val="21"/>
                <w:highlight w:val="none"/>
                <w:lang w:val="en-US" w:eastAsia="zh-CN"/>
              </w:rPr>
            </w:pPr>
          </w:p>
          <w:p>
            <w:pPr>
              <w:widowControl/>
              <w:spacing w:line="400" w:lineRule="exact"/>
              <w:rPr>
                <w:rFonts w:hint="eastAsia" w:ascii="宋体" w:hAnsi="宋体"/>
                <w:sz w:val="21"/>
                <w:szCs w:val="21"/>
                <w:highlight w:val="none"/>
              </w:rPr>
            </w:pPr>
            <w:r>
              <w:rPr>
                <w:rFonts w:hint="eastAsia" w:ascii="宋体" w:hAnsi="宋体"/>
                <w:sz w:val="21"/>
                <w:szCs w:val="21"/>
                <w:highlight w:val="none"/>
              </w:rPr>
              <w:t>发电机及发电机组</w:t>
            </w:r>
            <w:r>
              <w:rPr>
                <w:rFonts w:hint="eastAsia" w:ascii="宋体" w:hAnsi="宋体"/>
                <w:sz w:val="21"/>
                <w:szCs w:val="21"/>
                <w:highlight w:val="none"/>
                <w:lang w:val="en-US" w:eastAsia="zh-CN"/>
              </w:rPr>
              <w:t>工艺流程</w:t>
            </w:r>
            <w:r>
              <w:rPr>
                <w:rFonts w:hint="eastAsia" w:ascii="宋体" w:hAnsi="宋体"/>
                <w:sz w:val="21"/>
                <w:szCs w:val="21"/>
                <w:highlight w:val="none"/>
              </w:rPr>
              <w:t>：</w:t>
            </w:r>
          </w:p>
          <w:p>
            <w:pPr>
              <w:widowControl/>
              <w:spacing w:line="400" w:lineRule="exact"/>
              <w:rPr>
                <w:rFonts w:hint="default" w:ascii="宋体" w:hAnsi="宋体"/>
                <w:sz w:val="21"/>
                <w:szCs w:val="21"/>
                <w:highlight w:val="none"/>
                <w:lang w:val="en-US" w:eastAsia="zh-CN"/>
              </w:rPr>
            </w:pPr>
            <w:r>
              <w:rPr>
                <w:rFonts w:hint="eastAsia" w:ascii="宋体" w:hAnsi="宋体"/>
                <w:sz w:val="21"/>
                <w:szCs w:val="21"/>
                <w:highlight w:val="none"/>
                <w:lang w:val="en-US" w:eastAsia="zh-CN"/>
              </w:rPr>
              <w:t>来料</w:t>
            </w:r>
            <w:r>
              <w:rPr>
                <w:rFonts w:hint="eastAsia" w:ascii="宋体" w:hAnsi="宋体"/>
                <w:sz w:val="21"/>
                <w:szCs w:val="21"/>
                <w:highlight w:val="none"/>
              </w:rPr>
              <w:t>--机加工--铁芯制造--绕组制造--鼠笼转子制造--电机装配</w:t>
            </w:r>
            <w:r>
              <w:rPr>
                <w:rFonts w:hint="eastAsia" w:ascii="宋体" w:hAnsi="宋体"/>
                <w:sz w:val="21"/>
                <w:szCs w:val="21"/>
                <w:highlight w:val="none"/>
                <w:lang w:val="en-US" w:eastAsia="zh-CN"/>
              </w:rPr>
              <w:t>--调试</w:t>
            </w:r>
          </w:p>
          <w:p>
            <w:pPr>
              <w:widowControl/>
              <w:spacing w:line="400" w:lineRule="exact"/>
              <w:rPr>
                <w:rFonts w:hint="eastAsia" w:ascii="宋体" w:hAnsi="宋体"/>
                <w:sz w:val="21"/>
                <w:szCs w:val="21"/>
                <w:highlight w:val="none"/>
              </w:rPr>
            </w:pPr>
          </w:p>
          <w:p>
            <w:pPr>
              <w:widowControl/>
              <w:spacing w:line="400" w:lineRule="exact"/>
              <w:rPr>
                <w:rFonts w:hint="eastAsia" w:ascii="宋体" w:hAnsi="宋体"/>
                <w:sz w:val="21"/>
                <w:szCs w:val="21"/>
                <w:highlight w:val="none"/>
              </w:rPr>
            </w:pPr>
            <w:r>
              <w:rPr>
                <w:rFonts w:hint="eastAsia" w:ascii="宋体" w:hAnsi="宋体"/>
                <w:sz w:val="21"/>
                <w:szCs w:val="21"/>
                <w:highlight w:val="none"/>
              </w:rPr>
              <w:t>水利专用机械制造</w:t>
            </w:r>
            <w:r>
              <w:rPr>
                <w:rFonts w:hint="eastAsia" w:ascii="宋体" w:hAnsi="宋体"/>
                <w:sz w:val="21"/>
                <w:szCs w:val="21"/>
                <w:highlight w:val="none"/>
                <w:lang w:val="en-US" w:eastAsia="zh-CN"/>
              </w:rPr>
              <w:t>工艺流程</w:t>
            </w:r>
            <w:r>
              <w:rPr>
                <w:rFonts w:hint="eastAsia" w:ascii="宋体" w:hAnsi="宋体"/>
                <w:sz w:val="21"/>
                <w:szCs w:val="21"/>
                <w:highlight w:val="none"/>
              </w:rPr>
              <w:t>：</w:t>
            </w:r>
          </w:p>
          <w:p>
            <w:pPr>
              <w:widowControl/>
              <w:spacing w:line="400" w:lineRule="exact"/>
              <w:rPr>
                <w:rFonts w:ascii="宋体"/>
                <w:color w:val="000000"/>
                <w:sz w:val="20"/>
                <w:szCs w:val="20"/>
                <w:highlight w:val="none"/>
              </w:rPr>
            </w:pPr>
            <w:r>
              <w:rPr>
                <w:rFonts w:hint="eastAsia" w:ascii="宋体" w:hAnsi="宋体"/>
                <w:sz w:val="21"/>
                <w:szCs w:val="21"/>
                <w:highlight w:val="none"/>
                <w:lang w:val="en-US" w:eastAsia="zh-CN"/>
              </w:rPr>
              <w:t>来料</w:t>
            </w:r>
            <w:r>
              <w:rPr>
                <w:rFonts w:hint="eastAsia" w:ascii="宋体" w:hAnsi="宋体"/>
                <w:sz w:val="21"/>
                <w:szCs w:val="21"/>
                <w:highlight w:val="none"/>
              </w:rPr>
              <w:t>--下料--焊接--检测--打磨--初装试机--</w:t>
            </w:r>
            <w:r>
              <w:rPr>
                <w:rFonts w:hint="eastAsia" w:ascii="宋体" w:hAnsi="宋体"/>
                <w:sz w:val="21"/>
                <w:szCs w:val="21"/>
                <w:highlight w:val="none"/>
                <w:lang w:val="en-US" w:eastAsia="zh-CN"/>
              </w:rPr>
              <w:t>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eastAsia" w:ascii="宋体" w:eastAsia="宋体"/>
                <w:color w:val="000000"/>
                <w:sz w:val="20"/>
                <w:szCs w:val="20"/>
                <w:highlight w:val="none"/>
                <w:lang w:val="en-US" w:eastAsia="zh-CN"/>
              </w:rPr>
            </w:pPr>
            <w:r>
              <w:rPr>
                <w:rFonts w:hint="eastAsia" w:ascii="宋体" w:hAnsi="宋体"/>
                <w:color w:val="000000"/>
                <w:sz w:val="20"/>
                <w:szCs w:val="20"/>
                <w:highlight w:val="none"/>
              </w:rPr>
              <w:t>关键过程有：</w:t>
            </w:r>
            <w:r>
              <w:rPr>
                <w:rFonts w:hint="eastAsia" w:ascii="宋体" w:hAnsi="宋体"/>
                <w:color w:val="000000"/>
                <w:sz w:val="20"/>
                <w:szCs w:val="20"/>
                <w:highlight w:val="none"/>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none"/>
              </w:rPr>
            </w:pPr>
          </w:p>
        </w:tc>
        <w:tc>
          <w:tcPr>
            <w:tcW w:w="7427" w:type="dxa"/>
          </w:tcPr>
          <w:p>
            <w:pPr>
              <w:rPr>
                <w:rFonts w:hint="default" w:ascii="宋体" w:eastAsia="宋体"/>
                <w:color w:val="000000"/>
                <w:sz w:val="20"/>
                <w:szCs w:val="20"/>
                <w:highlight w:val="none"/>
                <w:lang w:val="en-US" w:eastAsia="zh-CN"/>
              </w:rPr>
            </w:pPr>
            <w:r>
              <w:rPr>
                <w:rFonts w:hint="eastAsia" w:ascii="宋体" w:hAnsi="宋体"/>
                <w:color w:val="000000"/>
                <w:sz w:val="20"/>
                <w:szCs w:val="20"/>
                <w:highlight w:val="none"/>
              </w:rPr>
              <w:t>针对关键过程建立的控制文件有：</w:t>
            </w:r>
            <w:r>
              <w:rPr>
                <w:rFonts w:hint="eastAsia" w:ascii="宋体" w:hAnsi="宋体"/>
                <w:color w:val="000000"/>
                <w:sz w:val="20"/>
                <w:szCs w:val="20"/>
                <w:highlight w:val="none"/>
                <w:lang w:val="en-US" w:eastAsia="zh-CN"/>
              </w:rPr>
              <w:t>焊接作业指导书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需要确认过程（</w:t>
            </w:r>
            <w:r>
              <w:rPr>
                <w:rFonts w:ascii="宋体" w:hAnsi="宋体"/>
                <w:color w:val="000000"/>
                <w:sz w:val="20"/>
                <w:szCs w:val="20"/>
                <w:highlight w:val="none"/>
              </w:rPr>
              <w:t>QMS</w:t>
            </w:r>
            <w:r>
              <w:rPr>
                <w:rFonts w:hint="eastAsia" w:ascii="宋体" w:hAnsi="宋体"/>
                <w:color w:val="000000"/>
                <w:sz w:val="20"/>
                <w:szCs w:val="20"/>
                <w:highlight w:val="none"/>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需要确认过程：</w:t>
            </w:r>
            <w:r>
              <w:rPr>
                <w:rFonts w:hint="eastAsia" w:ascii="宋体" w:hAnsi="宋体"/>
                <w:color w:val="000000"/>
                <w:sz w:val="20"/>
                <w:szCs w:val="20"/>
                <w:highlight w:val="none"/>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外包过程（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主要设备</w:t>
            </w:r>
          </w:p>
        </w:tc>
        <w:tc>
          <w:tcPr>
            <w:tcW w:w="7427" w:type="dxa"/>
          </w:tcPr>
          <w:p>
            <w:pPr>
              <w:spacing w:line="400" w:lineRule="exact"/>
              <w:rPr>
                <w:rFonts w:ascii="宋体"/>
                <w:color w:val="000000"/>
                <w:spacing w:val="-10"/>
                <w:sz w:val="20"/>
                <w:szCs w:val="20"/>
                <w:highlight w:val="none"/>
              </w:rPr>
            </w:pPr>
            <w:r>
              <w:rPr>
                <w:rFonts w:hint="eastAsia" w:ascii="宋体" w:hAnsi="宋体"/>
                <w:color w:val="000000"/>
                <w:spacing w:val="-10"/>
                <w:sz w:val="20"/>
                <w:szCs w:val="20"/>
                <w:highlight w:val="none"/>
              </w:rPr>
              <w:t>主要设备：</w:t>
            </w:r>
            <w:r>
              <w:rPr>
                <w:rFonts w:hint="eastAsia"/>
                <w:sz w:val="21"/>
                <w:szCs w:val="21"/>
                <w:highlight w:val="none"/>
                <w:lang w:val="en-US" w:eastAsia="zh-CN"/>
              </w:rPr>
              <w:t>立式车床、卧式车床、插床、数控铣床、摇臂钻床、牛头刨床等11台套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spacing w:line="400" w:lineRule="exact"/>
              <w:rPr>
                <w:rFonts w:hint="eastAsia" w:ascii="宋体" w:eastAsia="宋体"/>
                <w:color w:val="000000"/>
                <w:sz w:val="20"/>
                <w:szCs w:val="20"/>
                <w:highlight w:val="none"/>
                <w:lang w:val="en-US" w:eastAsia="zh-CN"/>
              </w:rPr>
            </w:pPr>
            <w:r>
              <w:rPr>
                <w:rFonts w:hint="eastAsia" w:ascii="宋体" w:hAnsi="宋体"/>
                <w:color w:val="000000"/>
                <w:sz w:val="20"/>
                <w:szCs w:val="20"/>
                <w:highlight w:val="none"/>
              </w:rPr>
              <w:t>特种设备：</w:t>
            </w:r>
            <w:r>
              <w:rPr>
                <w:rFonts w:hint="eastAsia" w:ascii="宋体" w:hAnsi="宋体" w:cs="宋体"/>
                <w:color w:val="000000"/>
                <w:sz w:val="21"/>
                <w:szCs w:val="21"/>
                <w:highlight w:val="none"/>
                <w:lang w:val="en-US" w:eastAsia="zh-CN"/>
              </w:rPr>
              <w:t>行车5T1台、20/5T1台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sz w:val="21"/>
                <w:szCs w:val="21"/>
                <w:highlight w:val="none"/>
                <w:lang w:val="en-US" w:eastAsia="zh-CN"/>
              </w:rPr>
              <w:t>游标卡尺</w:t>
            </w:r>
            <w:r>
              <w:rPr>
                <w:rFonts w:hint="eastAsia"/>
                <w:sz w:val="21"/>
                <w:szCs w:val="21"/>
                <w:highlight w:val="none"/>
                <w:lang w:eastAsia="zh-CN"/>
              </w:rPr>
              <w:t>、</w:t>
            </w:r>
            <w:r>
              <w:rPr>
                <w:rFonts w:hint="eastAsia"/>
                <w:sz w:val="21"/>
                <w:szCs w:val="21"/>
                <w:highlight w:val="none"/>
                <w:lang w:val="en-US" w:eastAsia="zh-CN"/>
              </w:rPr>
              <w:t>千分尺、百分表、卷尺等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lang w:eastAsia="zh-CN"/>
              </w:rPr>
              <w:t>☑</w:t>
            </w:r>
            <w:r>
              <w:rPr>
                <w:rFonts w:hint="eastAsia" w:ascii="宋体"/>
                <w:color w:val="000000"/>
                <w:sz w:val="20"/>
                <w:szCs w:val="20"/>
                <w:highlight w:val="none"/>
              </w:rPr>
              <w:t>是</w:t>
            </w:r>
            <w:r>
              <w:rPr>
                <w:rFonts w:hint="eastAsia" w:ascii="宋体"/>
                <w:color w:val="000000"/>
                <w:sz w:val="20"/>
                <w:szCs w:val="20"/>
                <w:highlight w:val="none"/>
                <w:lang w:eastAsia="zh-CN"/>
              </w:rPr>
              <w:t>□</w:t>
            </w:r>
            <w:r>
              <w:rPr>
                <w:rFonts w:hint="eastAsia" w:asci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满足产品要求所需</w:t>
            </w:r>
          </w:p>
          <w:p>
            <w:pPr>
              <w:rPr>
                <w:rFonts w:ascii="宋体"/>
                <w:color w:val="000000"/>
                <w:sz w:val="20"/>
                <w:szCs w:val="20"/>
                <w:highlight w:val="none"/>
              </w:rPr>
            </w:pPr>
            <w:r>
              <w:rPr>
                <w:rFonts w:hint="eastAsia" w:ascii="宋体" w:hAnsi="宋体"/>
                <w:color w:val="000000"/>
                <w:sz w:val="20"/>
                <w:szCs w:val="20"/>
                <w:highlight w:val="none"/>
              </w:rPr>
              <w:t>工作环境</w:t>
            </w:r>
          </w:p>
        </w:tc>
        <w:tc>
          <w:tcPr>
            <w:tcW w:w="7427" w:type="dxa"/>
          </w:tcPr>
          <w:p>
            <w:pPr>
              <w:rPr>
                <w:rFonts w:ascii="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spacing w:line="400" w:lineRule="exact"/>
              <w:rPr>
                <w:rFonts w:hint="eastAsia"/>
                <w:sz w:val="21"/>
                <w:szCs w:val="21"/>
                <w:highlight w:val="none"/>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ascii="Times New Roman" w:hAnsi="Times New Roman" w:cs="Times New Roman"/>
                <w:szCs w:val="21"/>
                <w:highlight w:val="none"/>
              </w:rPr>
              <w:t>建立有《内部审核控制程序》，于20</w:t>
            </w:r>
            <w:r>
              <w:rPr>
                <w:rFonts w:hint="eastAsia" w:cs="Times New Roman"/>
                <w:szCs w:val="21"/>
                <w:highlight w:val="none"/>
                <w:lang w:val="en-US" w:eastAsia="zh-CN"/>
              </w:rPr>
              <w:t>20</w:t>
            </w:r>
            <w:r>
              <w:rPr>
                <w:rFonts w:hint="eastAsia" w:ascii="Times New Roman" w:hAnsi="Times New Roman" w:cs="Times New Roman"/>
                <w:szCs w:val="21"/>
                <w:highlight w:val="none"/>
              </w:rPr>
              <w:t>年</w:t>
            </w:r>
            <w:r>
              <w:rPr>
                <w:rFonts w:hint="eastAsia" w:cs="Times New Roman"/>
                <w:szCs w:val="21"/>
                <w:highlight w:val="none"/>
                <w:lang w:val="en-US" w:eastAsia="zh-CN"/>
              </w:rPr>
              <w:t>3</w:t>
            </w:r>
            <w:r>
              <w:rPr>
                <w:rFonts w:hint="eastAsia" w:ascii="Times New Roman" w:hAnsi="Times New Roman" w:cs="Times New Roman"/>
                <w:szCs w:val="21"/>
                <w:highlight w:val="none"/>
              </w:rPr>
              <w:t>月</w:t>
            </w:r>
            <w:r>
              <w:rPr>
                <w:rFonts w:hint="eastAsia" w:ascii="Times New Roman" w:hAnsi="Times New Roman" w:cs="Times New Roman"/>
                <w:szCs w:val="21"/>
                <w:highlight w:val="none"/>
                <w:lang w:val="en-US" w:eastAsia="zh-CN"/>
              </w:rPr>
              <w:t>15日</w:t>
            </w:r>
            <w:r>
              <w:rPr>
                <w:rFonts w:hint="eastAsia" w:ascii="Times New Roman" w:hAnsi="Times New Roman" w:cs="Times New Roman"/>
                <w:szCs w:val="21"/>
                <w:highlight w:val="none"/>
              </w:rPr>
              <w:t>进行了内部审核。内部审核组组成:</w:t>
            </w:r>
            <w:r>
              <w:rPr>
                <w:rFonts w:hint="eastAsia" w:ascii="Times New Roman" w:hAnsi="Times New Roman" w:cs="Times New Roman"/>
                <w:szCs w:val="21"/>
                <w:highlight w:val="none"/>
                <w:lang w:val="en-US" w:eastAsia="zh-CN"/>
              </w:rPr>
              <w:t xml:space="preserve">   </w:t>
            </w:r>
            <w:r>
              <w:rPr>
                <w:rFonts w:hint="eastAsia" w:ascii="Times New Roman" w:hAnsi="Times New Roman" w:cs="Times New Roman"/>
                <w:szCs w:val="21"/>
                <w:highlight w:val="none"/>
                <w:lang w:eastAsia="zh-CN"/>
              </w:rPr>
              <w:t>组长：</w:t>
            </w:r>
            <w:r>
              <w:rPr>
                <w:rFonts w:hint="eastAsia"/>
                <w:sz w:val="21"/>
                <w:szCs w:val="21"/>
                <w:highlight w:val="none"/>
              </w:rPr>
              <w:t xml:space="preserve">王代碧 </w:t>
            </w:r>
          </w:p>
          <w:p>
            <w:pPr>
              <w:spacing w:line="400" w:lineRule="exact"/>
              <w:rPr>
                <w:rFonts w:hint="eastAsia" w:eastAsia="宋体"/>
                <w:szCs w:val="21"/>
                <w:highlight w:val="none"/>
                <w:lang w:eastAsia="zh-CN"/>
              </w:rPr>
            </w:pPr>
            <w:r>
              <w:rPr>
                <w:rFonts w:hint="eastAsia"/>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rPr>
              <w:t xml:space="preserve"> 组员：张雍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spacing w:line="400" w:lineRule="exact"/>
              <w:rPr>
                <w:szCs w:val="21"/>
                <w:highlight w:val="none"/>
              </w:rPr>
            </w:pPr>
            <w:r>
              <w:rPr>
                <w:rFonts w:hint="eastAsia"/>
                <w:szCs w:val="21"/>
                <w:highlight w:val="none"/>
              </w:rPr>
              <w:t>审核范围:管理体系涉及的公司所有部门及活动场所。</w:t>
            </w:r>
          </w:p>
          <w:p>
            <w:pPr>
              <w:spacing w:line="400" w:lineRule="exact"/>
              <w:rPr>
                <w:szCs w:val="21"/>
                <w:highlight w:val="none"/>
              </w:rPr>
            </w:pPr>
            <w:r>
              <w:rPr>
                <w:rFonts w:hint="eastAsia"/>
                <w:szCs w:val="21"/>
                <w:highlight w:val="none"/>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spacing w:line="260" w:lineRule="exact"/>
              <w:rPr>
                <w:szCs w:val="21"/>
                <w:highlight w:val="none"/>
              </w:rPr>
            </w:pPr>
            <w:r>
              <w:rPr>
                <w:rFonts w:hint="eastAsia"/>
                <w:szCs w:val="21"/>
                <w:highlight w:val="none"/>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highlight w:val="none"/>
              </w:rPr>
            </w:pPr>
            <w:r>
              <w:rPr>
                <w:rFonts w:hint="eastAsia"/>
                <w:szCs w:val="21"/>
                <w:highlight w:val="none"/>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highlight w:val="none"/>
              </w:rPr>
            </w:pPr>
            <w:r>
              <w:rPr>
                <w:rFonts w:hint="eastAsia"/>
                <w:szCs w:val="21"/>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建立有《管理评审控制程序》，于</w:t>
            </w:r>
            <w:r>
              <w:rPr>
                <w:rFonts w:hint="eastAsia" w:ascii="宋体" w:hAnsi="宋体"/>
                <w:kern w:val="0"/>
                <w:szCs w:val="21"/>
                <w:highlight w:val="none"/>
              </w:rPr>
              <w:t>20</w:t>
            </w:r>
            <w:r>
              <w:rPr>
                <w:rFonts w:hint="eastAsia" w:ascii="宋体" w:hAnsi="宋体"/>
                <w:kern w:val="0"/>
                <w:szCs w:val="21"/>
                <w:highlight w:val="none"/>
                <w:lang w:val="en-US" w:eastAsia="zh-CN"/>
              </w:rPr>
              <w:t>20</w:t>
            </w:r>
            <w:r>
              <w:rPr>
                <w:rFonts w:hint="eastAsia" w:ascii="宋体" w:hAnsi="宋体"/>
                <w:kern w:val="0"/>
                <w:szCs w:val="21"/>
                <w:highlight w:val="none"/>
              </w:rPr>
              <w:t>年</w:t>
            </w:r>
            <w:r>
              <w:rPr>
                <w:rFonts w:hint="eastAsia" w:ascii="宋体" w:hAnsi="宋体"/>
                <w:kern w:val="0"/>
                <w:szCs w:val="21"/>
                <w:highlight w:val="none"/>
                <w:lang w:val="en-US" w:eastAsia="zh-CN"/>
              </w:rPr>
              <w:t>3</w:t>
            </w:r>
            <w:r>
              <w:rPr>
                <w:rFonts w:hint="eastAsia" w:ascii="宋体" w:hAnsi="宋体"/>
                <w:kern w:val="0"/>
                <w:szCs w:val="21"/>
                <w:highlight w:val="none"/>
              </w:rPr>
              <w:t>月</w:t>
            </w:r>
            <w:r>
              <w:rPr>
                <w:rFonts w:hint="eastAsia" w:ascii="宋体" w:hAnsi="宋体"/>
                <w:kern w:val="0"/>
                <w:szCs w:val="21"/>
                <w:highlight w:val="none"/>
                <w:lang w:val="en-US" w:eastAsia="zh-CN"/>
              </w:rPr>
              <w:t>27</w:t>
            </w:r>
            <w:r>
              <w:rPr>
                <w:rFonts w:hint="eastAsia" w:ascii="宋体" w:hAnsi="宋体"/>
                <w:kern w:val="0"/>
                <w:szCs w:val="21"/>
                <w:highlight w:val="none"/>
              </w:rPr>
              <w:t>日</w:t>
            </w:r>
            <w:r>
              <w:rPr>
                <w:rFonts w:hint="eastAsia"/>
                <w:szCs w:val="21"/>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spacing w:before="156" w:beforeLines="50" w:line="360" w:lineRule="exact"/>
        <w:rPr>
          <w:rFonts w:ascii="宋体"/>
          <w:b/>
          <w:color w:val="000000"/>
          <w:sz w:val="26"/>
          <w:szCs w:val="26"/>
          <w:highlight w:val="none"/>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w:t>
      </w:r>
      <w:r>
        <w:rPr>
          <w:rFonts w:hint="eastAsia" w:ascii="宋体" w:hAnsi="宋体"/>
          <w:szCs w:val="21"/>
          <w:u w:val="single"/>
        </w:rPr>
        <w:t>水轮机及辅机、发电机及发电机组、水利专用机械制造及维修</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hAnsi="宋体"/>
          <w:b/>
          <w:color w:val="000000"/>
        </w:rPr>
      </w:pPr>
      <w:r>
        <w:rPr>
          <w:rFonts w:hint="eastAsia" w:ascii="宋体" w:hAnsi="宋体"/>
          <w:b/>
          <w:color w:val="000000"/>
        </w:rPr>
        <w:t>日期</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color w:val="000000"/>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w:t>
      </w:r>
      <w:r>
        <w:rPr>
          <w:rFonts w:hint="eastAsia" w:eastAsia="隶书" w:cs="Times New Roman"/>
          <w:color w:val="000000"/>
          <w:sz w:val="32"/>
          <w:szCs w:val="32"/>
        </w:rPr>
        <w:t>方：四川力源水电设备制造有限公司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tabs>
                <w:tab w:val="center" w:pos="5737"/>
                <w:tab w:val="clear" w:pos="4153"/>
              </w:tabs>
              <w:jc w:val="center"/>
              <w:rPr>
                <w:rFonts w:hint="eastAsia"/>
                <w:sz w:val="21"/>
                <w:szCs w:val="21"/>
                <w:highlight w:val="none"/>
                <w:lang w:val="en-US" w:eastAsia="zh-CN"/>
              </w:rPr>
            </w:pPr>
            <w:r>
              <w:rPr>
                <w:rFonts w:hint="eastAsia"/>
                <w:sz w:val="21"/>
                <w:szCs w:val="21"/>
                <w:highlight w:val="none"/>
                <w:lang w:val="en-US" w:eastAsia="zh-CN"/>
              </w:rPr>
              <w:t>1</w:t>
            </w:r>
          </w:p>
        </w:tc>
        <w:tc>
          <w:tcPr>
            <w:tcW w:w="5681" w:type="dxa"/>
            <w:vAlign w:val="center"/>
          </w:tcPr>
          <w:p>
            <w:pPr>
              <w:pStyle w:val="4"/>
              <w:pBdr>
                <w:bottom w:val="none" w:color="auto" w:sz="0" w:space="0"/>
              </w:pBdr>
              <w:tabs>
                <w:tab w:val="center" w:pos="5737"/>
                <w:tab w:val="clear" w:pos="4153"/>
              </w:tabs>
              <w:jc w:val="left"/>
              <w:rPr>
                <w:rFonts w:hint="default"/>
                <w:sz w:val="21"/>
                <w:szCs w:val="21"/>
                <w:highlight w:val="none"/>
                <w:lang w:val="en-US" w:eastAsia="zh-CN"/>
              </w:rPr>
            </w:pPr>
            <w:r>
              <w:rPr>
                <w:rFonts w:hint="eastAsia"/>
                <w:sz w:val="21"/>
                <w:szCs w:val="21"/>
                <w:highlight w:val="none"/>
                <w:lang w:val="en-US" w:eastAsia="zh-CN"/>
              </w:rPr>
              <w:t>在用检具游标卡尺、</w:t>
            </w:r>
            <w:r>
              <w:rPr>
                <w:rFonts w:hint="eastAsia"/>
                <w:sz w:val="21"/>
                <w:szCs w:val="21"/>
                <w:highlight w:val="none"/>
                <w:lang w:val="en-US" w:eastAsia="zh-CN"/>
              </w:rPr>
              <w:t>千分尺、百分表、卷尺不能提供有效校准证书</w:t>
            </w:r>
          </w:p>
        </w:tc>
        <w:tc>
          <w:tcPr>
            <w:tcW w:w="1688" w:type="dxa"/>
            <w:vAlign w:val="center"/>
          </w:tcPr>
          <w:p>
            <w:pPr>
              <w:pStyle w:val="4"/>
              <w:pBdr>
                <w:bottom w:val="none" w:color="auto" w:sz="0" w:space="0"/>
              </w:pBdr>
              <w:tabs>
                <w:tab w:val="center" w:pos="5737"/>
                <w:tab w:val="clear" w:pos="4153"/>
              </w:tabs>
              <w:jc w:val="center"/>
              <w:rPr>
                <w:rFonts w:hint="default"/>
                <w:sz w:val="21"/>
                <w:szCs w:val="21"/>
                <w:highlight w:val="none"/>
                <w:lang w:val="en-US" w:eastAsia="zh-CN"/>
              </w:rPr>
            </w:pPr>
            <w:r>
              <w:rPr>
                <w:rFonts w:hint="eastAsia"/>
                <w:sz w:val="21"/>
                <w:szCs w:val="21"/>
                <w:highlight w:val="none"/>
                <w:lang w:val="en-US" w:eastAsia="zh-CN"/>
              </w:rPr>
              <w:t>ISO9001</w:t>
            </w:r>
          </w:p>
        </w:tc>
        <w:tc>
          <w:tcPr>
            <w:tcW w:w="1811" w:type="dxa"/>
            <w:vAlign w:val="center"/>
          </w:tcPr>
          <w:p>
            <w:pPr>
              <w:pStyle w:val="4"/>
              <w:pBdr>
                <w:bottom w:val="none" w:color="auto" w:sz="0" w:space="0"/>
              </w:pBdr>
              <w:tabs>
                <w:tab w:val="center" w:pos="5737"/>
                <w:tab w:val="clear" w:pos="4153"/>
              </w:tabs>
              <w:jc w:val="center"/>
              <w:rPr>
                <w:rFonts w:hint="default"/>
                <w:sz w:val="21"/>
                <w:szCs w:val="21"/>
                <w:highlight w:val="none"/>
                <w:lang w:val="en-US" w:eastAsia="zh-CN"/>
              </w:rPr>
            </w:pPr>
            <w:r>
              <w:rPr>
                <w:rFonts w:hint="eastAsia"/>
                <w:sz w:val="21"/>
                <w:szCs w:val="21"/>
                <w:highlight w:val="none"/>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bookmarkStart w:id="25" w:name="_GoBack"/>
            <w:bookmarkEnd w:id="25"/>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6046B7"/>
    <w:rsid w:val="06061F25"/>
    <w:rsid w:val="115F0D82"/>
    <w:rsid w:val="16A94F43"/>
    <w:rsid w:val="22203AF7"/>
    <w:rsid w:val="22D870DB"/>
    <w:rsid w:val="22EF1391"/>
    <w:rsid w:val="260C4899"/>
    <w:rsid w:val="2E4C7385"/>
    <w:rsid w:val="2EC1768B"/>
    <w:rsid w:val="326A70EF"/>
    <w:rsid w:val="34B978AA"/>
    <w:rsid w:val="3A2119E8"/>
    <w:rsid w:val="3B3D5883"/>
    <w:rsid w:val="3E3129D4"/>
    <w:rsid w:val="49AA2C10"/>
    <w:rsid w:val="505E1FA6"/>
    <w:rsid w:val="597A2D8D"/>
    <w:rsid w:val="5F533EE6"/>
    <w:rsid w:val="617567DF"/>
    <w:rsid w:val="61D21853"/>
    <w:rsid w:val="64555611"/>
    <w:rsid w:val="67A3119D"/>
    <w:rsid w:val="696410FC"/>
    <w:rsid w:val="6AE503F7"/>
    <w:rsid w:val="713959CE"/>
    <w:rsid w:val="72731931"/>
    <w:rsid w:val="74A25377"/>
    <w:rsid w:val="74D377F5"/>
    <w:rsid w:val="767719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2020-06-17T08:00:49Z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